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26097B">
      <w:pPr>
        <w:spacing w:line="600" w:lineRule="exact"/>
        <w:jc w:val="center"/>
        <w:rPr>
          <w:rFonts w:hint="eastAsia" w:ascii="方正小标宋简体" w:hAnsi="宋体" w:eastAsia="方正小标宋简体"/>
          <w:color w:val="000000"/>
          <w:sz w:val="44"/>
          <w:szCs w:val="32"/>
        </w:rPr>
      </w:pPr>
      <w:r>
        <w:rPr>
          <w:rFonts w:hint="eastAsia" w:ascii="方正小标宋简体" w:hAnsi="宋体" w:eastAsia="方正小标宋简体"/>
          <w:color w:val="000000"/>
          <w:sz w:val="44"/>
          <w:szCs w:val="32"/>
        </w:rPr>
        <w:t>团体标准《</w:t>
      </w:r>
      <w:r>
        <w:rPr>
          <w:rFonts w:hint="eastAsia" w:ascii="方正小标宋简体" w:hAnsi="宋体" w:eastAsia="方正小标宋简体"/>
          <w:color w:val="000000"/>
          <w:sz w:val="44"/>
          <w:szCs w:val="32"/>
          <w:lang w:eastAsia="zh-CN"/>
        </w:rPr>
        <w:t>钟山红花腐竹</w:t>
      </w:r>
      <w:r>
        <w:rPr>
          <w:rFonts w:hint="eastAsia" w:ascii="方正小标宋简体" w:hAnsi="宋体" w:eastAsia="方正小标宋简体"/>
          <w:color w:val="000000"/>
          <w:sz w:val="44"/>
          <w:szCs w:val="32"/>
        </w:rPr>
        <w:t>》（征求意见稿）</w:t>
      </w:r>
    </w:p>
    <w:p w14:paraId="67EFCAD8">
      <w:pPr>
        <w:spacing w:line="600" w:lineRule="exact"/>
        <w:jc w:val="center"/>
        <w:rPr>
          <w:rFonts w:ascii="方正小标宋简体" w:hAnsi="宋体" w:eastAsia="方正小标宋简体"/>
          <w:color w:val="000000"/>
          <w:sz w:val="44"/>
          <w:szCs w:val="32"/>
        </w:rPr>
      </w:pPr>
      <w:r>
        <w:rPr>
          <w:rFonts w:hint="eastAsia" w:ascii="方正小标宋简体" w:hAnsi="宋体" w:eastAsia="方正小标宋简体"/>
          <w:color w:val="000000"/>
          <w:sz w:val="44"/>
          <w:szCs w:val="32"/>
        </w:rPr>
        <w:t>编制说明</w:t>
      </w:r>
    </w:p>
    <w:p w14:paraId="7545AED6">
      <w:pPr>
        <w:autoSpaceDE w:val="0"/>
        <w:autoSpaceDN w:val="0"/>
        <w:adjustRightInd w:val="0"/>
        <w:spacing w:before="156" w:beforeLines="50" w:after="156" w:afterLines="50" w:line="560" w:lineRule="exact"/>
        <w:ind w:firstLine="640" w:firstLineChars="200"/>
        <w:jc w:val="left"/>
        <w:rPr>
          <w:rFonts w:ascii="黑体" w:hAnsi="黑体" w:eastAsia="黑体" w:cs="仿宋_GB2312"/>
          <w:sz w:val="32"/>
          <w:szCs w:val="32"/>
        </w:rPr>
      </w:pPr>
    </w:p>
    <w:p w14:paraId="0D5136F0">
      <w:pPr>
        <w:autoSpaceDE w:val="0"/>
        <w:autoSpaceDN w:val="0"/>
        <w:adjustRightInd w:val="0"/>
        <w:spacing w:before="156" w:beforeLines="50" w:after="156" w:afterLines="50" w:line="560" w:lineRule="exact"/>
        <w:ind w:firstLine="640" w:firstLineChars="200"/>
        <w:jc w:val="left"/>
        <w:rPr>
          <w:rFonts w:hint="default" w:ascii="黑体" w:hAnsi="黑体" w:eastAsia="黑体" w:cs="仿宋_GB2312"/>
          <w:sz w:val="32"/>
          <w:szCs w:val="32"/>
          <w:lang w:val="en-US" w:eastAsia="zh-CN"/>
        </w:rPr>
      </w:pPr>
      <w:r>
        <w:rPr>
          <w:rFonts w:hint="eastAsia" w:ascii="黑体" w:hAnsi="黑体" w:eastAsia="黑体" w:cs="仿宋_GB2312"/>
          <w:sz w:val="32"/>
          <w:szCs w:val="32"/>
        </w:rPr>
        <w:t>一、任务来源、起草单位</w:t>
      </w:r>
      <w:r>
        <w:rPr>
          <w:rFonts w:hint="eastAsia" w:ascii="黑体" w:hAnsi="黑体" w:eastAsia="黑体" w:cs="仿宋_GB2312"/>
          <w:sz w:val="32"/>
          <w:szCs w:val="32"/>
          <w:lang w:eastAsia="zh-CN"/>
        </w:rPr>
        <w:t>、</w:t>
      </w:r>
      <w:r>
        <w:rPr>
          <w:rFonts w:hint="eastAsia" w:ascii="黑体" w:hAnsi="黑体" w:eastAsia="黑体" w:cs="仿宋_GB2312"/>
          <w:sz w:val="32"/>
          <w:szCs w:val="32"/>
          <w:lang w:val="en-US" w:eastAsia="zh-CN"/>
        </w:rPr>
        <w:t>起草人</w:t>
      </w:r>
    </w:p>
    <w:p w14:paraId="7FB55DF0">
      <w:pPr>
        <w:ind w:firstLine="640" w:firstLineChars="200"/>
        <w:rPr>
          <w:rFonts w:hint="eastAsia" w:ascii="仿宋_GB2312" w:hAnsi="宋体" w:eastAsia="仿宋_GB2312"/>
          <w:sz w:val="32"/>
          <w:szCs w:val="28"/>
        </w:rPr>
      </w:pPr>
      <w:r>
        <w:rPr>
          <w:rFonts w:hint="eastAsia" w:ascii="仿宋_GB2312" w:hAnsi="宋体" w:eastAsia="仿宋_GB2312"/>
          <w:sz w:val="32"/>
          <w:szCs w:val="28"/>
        </w:rPr>
        <w:t>根据《广西标准化协会关于下达2024年第二十四批团体标准制修订项目计划的通知》（桂标协〔2024〕177号）文件精神，由钟山县市场监督管理局提出，钟山县市场监督管理局、广西壮族自治区亚热带作物研究所、钟山县农业农村局、钟山县检验检测中心、钟山县红花镇农业服务中心、钟山县文化广电和旅游局</w:t>
      </w:r>
      <w:r>
        <w:rPr>
          <w:rFonts w:hint="eastAsia" w:ascii="仿宋_GB2312" w:hAnsi="宋体" w:eastAsia="仿宋_GB2312"/>
          <w:sz w:val="32"/>
          <w:szCs w:val="28"/>
          <w:lang w:eastAsia="zh-CN"/>
        </w:rPr>
        <w:t>、</w:t>
      </w:r>
      <w:r>
        <w:rPr>
          <w:rFonts w:hint="eastAsia" w:ascii="仿宋_GB2312" w:hAnsi="宋体" w:eastAsia="仿宋_GB2312"/>
          <w:sz w:val="32"/>
          <w:szCs w:val="28"/>
        </w:rPr>
        <w:t>钟山县丰源农产品加工厂、广西中盈生态农业科技有限公司等单位共同起草的团体标准《钟山红花腐竹》</w:t>
      </w:r>
      <w:r>
        <w:rPr>
          <w:rFonts w:hint="eastAsia" w:ascii="仿宋_GB2312" w:hAnsi="宋体" w:eastAsia="仿宋_GB2312"/>
          <w:sz w:val="32"/>
          <w:szCs w:val="28"/>
          <w:highlight w:val="none"/>
        </w:rPr>
        <w:t>（项目编号：2024-2413），已</w:t>
      </w:r>
      <w:r>
        <w:rPr>
          <w:rFonts w:hint="eastAsia" w:ascii="仿宋_GB2312" w:hAnsi="宋体" w:eastAsia="仿宋_GB2312"/>
          <w:sz w:val="32"/>
          <w:szCs w:val="28"/>
        </w:rPr>
        <w:t>获批立项。</w:t>
      </w:r>
    </w:p>
    <w:p w14:paraId="6D0B5F22">
      <w:pPr>
        <w:ind w:firstLine="640" w:firstLineChars="200"/>
        <w:rPr>
          <w:rFonts w:hint="eastAsia" w:ascii="仿宋_GB2312" w:hAnsi="宋体" w:eastAsia="仿宋_GB2312"/>
          <w:sz w:val="32"/>
          <w:szCs w:val="28"/>
        </w:rPr>
      </w:pPr>
      <w:r>
        <w:rPr>
          <w:rFonts w:hint="eastAsia" w:ascii="仿宋_GB2312" w:hAnsi="宋体" w:eastAsia="仿宋_GB2312"/>
          <w:sz w:val="32"/>
          <w:szCs w:val="28"/>
        </w:rPr>
        <w:t>为高质量编制团体标准《钟山红花腐竹》，成立标准起草小组并进行如下分工：</w:t>
      </w:r>
    </w:p>
    <w:tbl>
      <w:tblPr>
        <w:tblStyle w:val="7"/>
        <w:tblW w:w="5000"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147"/>
        <w:gridCol w:w="1371"/>
        <w:gridCol w:w="1702"/>
        <w:gridCol w:w="1703"/>
        <w:gridCol w:w="3251"/>
      </w:tblGrid>
      <w:tr w14:paraId="6B64E70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bottom w:val="single" w:color="auto" w:sz="4" w:space="0"/>
            </w:tcBorders>
            <w:noWrap w:val="0"/>
            <w:vAlign w:val="center"/>
          </w:tcPr>
          <w:p w14:paraId="79330881">
            <w:pPr>
              <w:keepNext w:val="0"/>
              <w:keepLines w:val="0"/>
              <w:suppressLineNumbers w:val="0"/>
              <w:spacing w:before="0" w:beforeAutospacing="0" w:after="0" w:afterAutospacing="0"/>
              <w:ind w:left="0" w:right="0"/>
              <w:jc w:val="center"/>
              <w:rPr>
                <w:rFonts w:hint="eastAsia" w:ascii="仿宋" w:hAnsi="仿宋" w:eastAsia="仿宋"/>
                <w:b/>
                <w:sz w:val="24"/>
              </w:rPr>
            </w:pPr>
            <w:r>
              <w:rPr>
                <w:rFonts w:hint="eastAsia" w:ascii="仿宋" w:hAnsi="仿宋" w:eastAsia="仿宋"/>
                <w:b/>
                <w:sz w:val="24"/>
              </w:rPr>
              <w:t>姓名</w:t>
            </w:r>
          </w:p>
        </w:tc>
        <w:tc>
          <w:tcPr>
            <w:tcW w:w="747" w:type="pct"/>
            <w:tcBorders>
              <w:top w:val="single" w:color="auto" w:sz="4" w:space="0"/>
              <w:bottom w:val="single" w:color="auto" w:sz="4" w:space="0"/>
            </w:tcBorders>
            <w:noWrap w:val="0"/>
            <w:vAlign w:val="center"/>
          </w:tcPr>
          <w:p w14:paraId="0FC77F5F">
            <w:pPr>
              <w:keepNext w:val="0"/>
              <w:keepLines w:val="0"/>
              <w:suppressLineNumbers w:val="0"/>
              <w:spacing w:before="0" w:beforeAutospacing="0" w:after="0" w:afterAutospacing="0"/>
              <w:ind w:left="0" w:right="0"/>
              <w:jc w:val="center"/>
              <w:rPr>
                <w:rFonts w:hint="eastAsia" w:ascii="仿宋" w:hAnsi="仿宋" w:eastAsia="仿宋"/>
                <w:b/>
                <w:sz w:val="24"/>
              </w:rPr>
            </w:pPr>
            <w:r>
              <w:rPr>
                <w:rFonts w:hint="eastAsia" w:ascii="仿宋" w:hAnsi="仿宋" w:eastAsia="仿宋"/>
                <w:b/>
                <w:sz w:val="24"/>
              </w:rPr>
              <w:t>职务/职称</w:t>
            </w:r>
          </w:p>
        </w:tc>
        <w:tc>
          <w:tcPr>
            <w:tcW w:w="927" w:type="pct"/>
            <w:tcBorders>
              <w:top w:val="single" w:color="auto" w:sz="4" w:space="0"/>
              <w:bottom w:val="single" w:color="auto" w:sz="4" w:space="0"/>
            </w:tcBorders>
            <w:noWrap w:val="0"/>
            <w:vAlign w:val="center"/>
          </w:tcPr>
          <w:p w14:paraId="407B1907">
            <w:pPr>
              <w:keepNext w:val="0"/>
              <w:keepLines w:val="0"/>
              <w:suppressLineNumbers w:val="0"/>
              <w:spacing w:before="0" w:beforeAutospacing="0" w:after="0" w:afterAutospacing="0"/>
              <w:ind w:left="0" w:right="0"/>
              <w:jc w:val="center"/>
              <w:rPr>
                <w:rFonts w:hint="eastAsia" w:ascii="仿宋" w:hAnsi="仿宋" w:eastAsia="仿宋"/>
                <w:b/>
                <w:sz w:val="24"/>
              </w:rPr>
            </w:pPr>
            <w:r>
              <w:rPr>
                <w:rFonts w:hint="eastAsia" w:ascii="仿宋" w:hAnsi="仿宋" w:eastAsia="仿宋"/>
                <w:b/>
                <w:sz w:val="24"/>
              </w:rPr>
              <w:t>从事专业</w:t>
            </w:r>
          </w:p>
        </w:tc>
        <w:tc>
          <w:tcPr>
            <w:tcW w:w="928" w:type="pct"/>
            <w:tcBorders>
              <w:top w:val="single" w:color="auto" w:sz="4" w:space="0"/>
              <w:bottom w:val="single" w:color="auto" w:sz="4" w:space="0"/>
            </w:tcBorders>
            <w:noWrap w:val="0"/>
            <w:vAlign w:val="center"/>
          </w:tcPr>
          <w:p w14:paraId="000A41E2">
            <w:pPr>
              <w:keepNext w:val="0"/>
              <w:keepLines w:val="0"/>
              <w:suppressLineNumbers w:val="0"/>
              <w:spacing w:before="0" w:beforeAutospacing="0" w:after="0" w:afterAutospacing="0"/>
              <w:ind w:left="0" w:right="0"/>
              <w:jc w:val="center"/>
              <w:rPr>
                <w:rFonts w:hint="eastAsia" w:ascii="仿宋" w:hAnsi="仿宋" w:eastAsia="仿宋"/>
                <w:b/>
                <w:sz w:val="24"/>
              </w:rPr>
            </w:pPr>
            <w:r>
              <w:rPr>
                <w:rFonts w:hint="eastAsia" w:ascii="仿宋" w:hAnsi="仿宋" w:eastAsia="仿宋"/>
                <w:b/>
                <w:sz w:val="24"/>
              </w:rPr>
              <w:t>工作单位</w:t>
            </w:r>
          </w:p>
        </w:tc>
        <w:tc>
          <w:tcPr>
            <w:tcW w:w="1771" w:type="pct"/>
            <w:tcBorders>
              <w:top w:val="single" w:color="auto" w:sz="4" w:space="0"/>
              <w:bottom w:val="single" w:color="auto" w:sz="4" w:space="0"/>
            </w:tcBorders>
            <w:noWrap w:val="0"/>
            <w:vAlign w:val="center"/>
          </w:tcPr>
          <w:p w14:paraId="72C25600">
            <w:pPr>
              <w:keepNext w:val="0"/>
              <w:keepLines w:val="0"/>
              <w:suppressLineNumbers w:val="0"/>
              <w:spacing w:before="0" w:beforeAutospacing="0" w:after="0" w:afterAutospacing="0"/>
              <w:ind w:left="0" w:right="0"/>
              <w:jc w:val="center"/>
              <w:rPr>
                <w:rFonts w:hint="eastAsia" w:ascii="仿宋" w:hAnsi="仿宋" w:eastAsia="仿宋"/>
                <w:b/>
                <w:sz w:val="24"/>
              </w:rPr>
            </w:pPr>
            <w:r>
              <w:rPr>
                <w:rFonts w:hint="eastAsia" w:ascii="仿宋" w:hAnsi="仿宋" w:eastAsia="仿宋"/>
                <w:b/>
                <w:sz w:val="24"/>
              </w:rPr>
              <w:t>责任分工</w:t>
            </w:r>
          </w:p>
        </w:tc>
      </w:tr>
      <w:tr w14:paraId="2E7392A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625" w:type="pct"/>
            <w:tcBorders>
              <w:top w:val="single" w:color="auto" w:sz="4" w:space="0"/>
              <w:left w:val="single" w:color="auto" w:sz="4" w:space="0"/>
              <w:bottom w:val="single" w:color="auto" w:sz="4" w:space="0"/>
            </w:tcBorders>
            <w:noWrap w:val="0"/>
            <w:vAlign w:val="center"/>
          </w:tcPr>
          <w:p w14:paraId="745D2230">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val="en-US" w:eastAsia="zh-CN" w:bidi="ar"/>
              </w:rPr>
            </w:pPr>
            <w:bookmarkStart w:id="3" w:name="_GoBack" w:colFirst="0" w:colLast="4"/>
            <w:r>
              <w:rPr>
                <w:rFonts w:hint="eastAsia" w:ascii="仿宋_GB2312" w:hAnsi="仿宋_GB2312" w:eastAsia="仿宋_GB2312" w:cs="仿宋_GB2312"/>
                <w:sz w:val="24"/>
                <w:lang w:val="en-US" w:eastAsia="zh-CN" w:bidi="ar"/>
              </w:rPr>
              <w:t>侯宾</w:t>
            </w:r>
          </w:p>
        </w:tc>
        <w:tc>
          <w:tcPr>
            <w:tcW w:w="747" w:type="pct"/>
            <w:tcBorders>
              <w:top w:val="single" w:color="auto" w:sz="4" w:space="0"/>
              <w:bottom w:val="single" w:color="auto" w:sz="4" w:space="0"/>
            </w:tcBorders>
            <w:noWrap w:val="0"/>
            <w:vAlign w:val="center"/>
          </w:tcPr>
          <w:p w14:paraId="72D0D562">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县市场监管局党组书记 局长</w:t>
            </w:r>
          </w:p>
        </w:tc>
        <w:tc>
          <w:tcPr>
            <w:tcW w:w="927" w:type="pct"/>
            <w:tcBorders>
              <w:top w:val="single" w:color="auto" w:sz="4" w:space="0"/>
              <w:bottom w:val="single" w:color="auto" w:sz="4" w:space="0"/>
            </w:tcBorders>
            <w:noWrap w:val="0"/>
            <w:vAlign w:val="center"/>
          </w:tcPr>
          <w:p w14:paraId="32F5F1C8">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bidi="ar"/>
              </w:rPr>
            </w:pPr>
            <w:r>
              <w:rPr>
                <w:rFonts w:hint="eastAsia" w:ascii="仿宋_GB2312" w:hAnsi="仿宋_GB2312" w:eastAsia="仿宋_GB2312" w:cs="仿宋_GB2312"/>
                <w:sz w:val="24"/>
                <w:lang w:val="en-US" w:eastAsia="zh-CN"/>
              </w:rPr>
              <w:t>主管县市场监管局相关工作</w:t>
            </w:r>
          </w:p>
        </w:tc>
        <w:tc>
          <w:tcPr>
            <w:tcW w:w="928" w:type="pct"/>
            <w:tcBorders>
              <w:top w:val="single" w:color="auto" w:sz="4" w:space="0"/>
              <w:bottom w:val="single" w:color="auto" w:sz="4" w:space="0"/>
            </w:tcBorders>
            <w:noWrap w:val="0"/>
            <w:vAlign w:val="center"/>
          </w:tcPr>
          <w:p w14:paraId="748B28DB">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钟山县市场监管局</w:t>
            </w:r>
          </w:p>
        </w:tc>
        <w:tc>
          <w:tcPr>
            <w:tcW w:w="1771" w:type="pct"/>
            <w:tcBorders>
              <w:top w:val="single" w:color="auto" w:sz="4" w:space="0"/>
              <w:bottom w:val="single" w:color="auto" w:sz="4" w:space="0"/>
              <w:right w:val="single" w:color="auto" w:sz="4" w:space="0"/>
            </w:tcBorders>
            <w:noWrap w:val="0"/>
            <w:vAlign w:val="center"/>
          </w:tcPr>
          <w:p w14:paraId="7E58BE96">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eastAsia="zh-CN" w:bidi="ar"/>
              </w:rPr>
            </w:pPr>
            <w:r>
              <w:rPr>
                <w:rFonts w:hint="eastAsia" w:ascii="仿宋_GB2312" w:hAnsi="仿宋_GB2312" w:eastAsia="仿宋_GB2312" w:cs="仿宋_GB2312"/>
                <w:sz w:val="24"/>
                <w:lang w:bidi="ar"/>
              </w:rPr>
              <w:t>统筹主持标准编制工作</w:t>
            </w:r>
            <w:r>
              <w:rPr>
                <w:rFonts w:hint="eastAsia" w:ascii="仿宋_GB2312" w:hAnsi="仿宋_GB2312" w:eastAsia="仿宋_GB2312" w:cs="仿宋_GB2312"/>
                <w:sz w:val="24"/>
                <w:lang w:eastAsia="zh-CN" w:bidi="ar"/>
              </w:rPr>
              <w:t>。</w:t>
            </w:r>
          </w:p>
        </w:tc>
      </w:tr>
      <w:tr w14:paraId="2C551FE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625" w:type="pct"/>
            <w:tcBorders>
              <w:top w:val="single" w:color="auto" w:sz="4" w:space="0"/>
              <w:left w:val="single" w:color="auto" w:sz="4" w:space="0"/>
              <w:bottom w:val="single" w:color="auto" w:sz="4" w:space="0"/>
            </w:tcBorders>
            <w:noWrap w:val="0"/>
            <w:vAlign w:val="center"/>
          </w:tcPr>
          <w:p w14:paraId="496F0C63">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钟有林</w:t>
            </w:r>
          </w:p>
        </w:tc>
        <w:tc>
          <w:tcPr>
            <w:tcW w:w="747" w:type="pct"/>
            <w:tcBorders>
              <w:top w:val="single" w:color="auto" w:sz="4" w:space="0"/>
              <w:bottom w:val="single" w:color="auto" w:sz="4" w:space="0"/>
            </w:tcBorders>
            <w:noWrap w:val="0"/>
            <w:vAlign w:val="center"/>
          </w:tcPr>
          <w:p w14:paraId="333A63B4">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县市场监管局党组成员、县检验检测中心主任</w:t>
            </w:r>
          </w:p>
        </w:tc>
        <w:tc>
          <w:tcPr>
            <w:tcW w:w="927" w:type="pct"/>
            <w:tcBorders>
              <w:top w:val="single" w:color="auto" w:sz="4" w:space="0"/>
              <w:bottom w:val="single" w:color="auto" w:sz="4" w:space="0"/>
            </w:tcBorders>
            <w:noWrap w:val="0"/>
            <w:vAlign w:val="center"/>
          </w:tcPr>
          <w:p w14:paraId="16C9FFFE">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bidi="ar"/>
              </w:rPr>
            </w:pPr>
            <w:r>
              <w:rPr>
                <w:rFonts w:hint="eastAsia" w:ascii="仿宋_GB2312" w:hAnsi="仿宋_GB2312" w:eastAsia="仿宋_GB2312" w:cs="仿宋_GB2312"/>
                <w:sz w:val="24"/>
                <w:lang w:val="en-US" w:eastAsia="zh-CN"/>
              </w:rPr>
              <w:t>主管县检验检测中心相关工作</w:t>
            </w:r>
          </w:p>
        </w:tc>
        <w:tc>
          <w:tcPr>
            <w:tcW w:w="928" w:type="pct"/>
            <w:tcBorders>
              <w:top w:val="single" w:color="auto" w:sz="4" w:space="0"/>
              <w:bottom w:val="single" w:color="auto" w:sz="4" w:space="0"/>
            </w:tcBorders>
            <w:noWrap w:val="0"/>
            <w:vAlign w:val="center"/>
          </w:tcPr>
          <w:p w14:paraId="3FE62F7F">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bidi="ar"/>
              </w:rPr>
            </w:pPr>
            <w:r>
              <w:rPr>
                <w:rFonts w:hint="eastAsia" w:ascii="仿宋_GB2312" w:hAnsi="仿宋_GB2312" w:eastAsia="仿宋_GB2312" w:cs="仿宋_GB2312"/>
                <w:sz w:val="24"/>
                <w:lang w:val="en-US" w:eastAsia="zh-CN" w:bidi="ar"/>
              </w:rPr>
              <w:t>钟山县市场监管局</w:t>
            </w:r>
          </w:p>
        </w:tc>
        <w:tc>
          <w:tcPr>
            <w:tcW w:w="1771" w:type="pct"/>
            <w:tcBorders>
              <w:top w:val="single" w:color="auto" w:sz="4" w:space="0"/>
              <w:bottom w:val="single" w:color="auto" w:sz="4" w:space="0"/>
              <w:right w:val="single" w:color="auto" w:sz="4" w:space="0"/>
            </w:tcBorders>
            <w:noWrap w:val="0"/>
            <w:vAlign w:val="center"/>
          </w:tcPr>
          <w:p w14:paraId="618B4516">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eastAsia="zh-CN" w:bidi="ar"/>
              </w:rPr>
            </w:pPr>
            <w:r>
              <w:rPr>
                <w:rFonts w:hint="eastAsia" w:ascii="仿宋_GB2312" w:hAnsi="仿宋_GB2312" w:eastAsia="仿宋_GB2312" w:cs="仿宋_GB2312"/>
                <w:sz w:val="24"/>
                <w:lang w:bidi="ar"/>
              </w:rPr>
              <w:t>参与标准编制工作，组织人员进行标准发布后的宣贯培训</w:t>
            </w:r>
            <w:r>
              <w:rPr>
                <w:rFonts w:hint="eastAsia" w:ascii="仿宋_GB2312" w:hAnsi="仿宋_GB2312" w:eastAsia="仿宋_GB2312" w:cs="仿宋_GB2312"/>
                <w:sz w:val="24"/>
                <w:lang w:eastAsia="zh-CN" w:bidi="ar"/>
              </w:rPr>
              <w:t>。</w:t>
            </w:r>
          </w:p>
        </w:tc>
      </w:tr>
      <w:tr w14:paraId="0F02B0A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625" w:type="pct"/>
            <w:tcBorders>
              <w:top w:val="single" w:color="auto" w:sz="4" w:space="0"/>
              <w:left w:val="single" w:color="auto" w:sz="4" w:space="0"/>
              <w:bottom w:val="single" w:color="auto" w:sz="4" w:space="0"/>
            </w:tcBorders>
            <w:noWrap w:val="0"/>
            <w:vAlign w:val="center"/>
          </w:tcPr>
          <w:p w14:paraId="55269729">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李冬桂</w:t>
            </w:r>
          </w:p>
        </w:tc>
        <w:tc>
          <w:tcPr>
            <w:tcW w:w="747" w:type="pct"/>
            <w:tcBorders>
              <w:top w:val="single" w:color="auto" w:sz="4" w:space="0"/>
              <w:bottom w:val="single" w:color="auto" w:sz="4" w:space="0"/>
            </w:tcBorders>
            <w:noWrap w:val="0"/>
            <w:vAlign w:val="center"/>
          </w:tcPr>
          <w:p w14:paraId="34746034">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高级工程师</w:t>
            </w:r>
          </w:p>
        </w:tc>
        <w:tc>
          <w:tcPr>
            <w:tcW w:w="927" w:type="pct"/>
            <w:tcBorders>
              <w:top w:val="single" w:color="auto" w:sz="4" w:space="0"/>
              <w:bottom w:val="single" w:color="auto" w:sz="4" w:space="0"/>
            </w:tcBorders>
            <w:noWrap w:val="0"/>
            <w:vAlign w:val="center"/>
          </w:tcPr>
          <w:p w14:paraId="3A0CF923">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检验检测</w:t>
            </w:r>
          </w:p>
        </w:tc>
        <w:tc>
          <w:tcPr>
            <w:tcW w:w="928" w:type="pct"/>
            <w:tcBorders>
              <w:top w:val="single" w:color="auto" w:sz="4" w:space="0"/>
              <w:bottom w:val="single" w:color="auto" w:sz="4" w:space="0"/>
            </w:tcBorders>
            <w:noWrap w:val="0"/>
            <w:vAlign w:val="center"/>
          </w:tcPr>
          <w:p w14:paraId="0B09AB26">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检验检测</w:t>
            </w:r>
          </w:p>
        </w:tc>
        <w:tc>
          <w:tcPr>
            <w:tcW w:w="1771" w:type="pct"/>
            <w:tcBorders>
              <w:top w:val="single" w:color="auto" w:sz="4" w:space="0"/>
              <w:bottom w:val="single" w:color="auto" w:sz="4" w:space="0"/>
              <w:right w:val="single" w:color="auto" w:sz="4" w:space="0"/>
            </w:tcBorders>
            <w:noWrap w:val="0"/>
            <w:vAlign w:val="center"/>
          </w:tcPr>
          <w:p w14:paraId="27940E00">
            <w:pPr>
              <w:keepNext w:val="0"/>
              <w:keepLines w:val="0"/>
              <w:suppressLineNumbers w:val="0"/>
              <w:spacing w:before="0" w:beforeAutospacing="0" w:after="0" w:afterAutospacing="0"/>
              <w:ind w:left="0" w:right="0"/>
              <w:jc w:val="left"/>
              <w:rPr>
                <w:rFonts w:hint="default"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负责标准样品的检测，分析标准指标，不断对标准提出修正意见。</w:t>
            </w:r>
          </w:p>
        </w:tc>
      </w:tr>
      <w:tr w14:paraId="40A0B1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625" w:type="pct"/>
            <w:tcBorders>
              <w:top w:val="single" w:color="auto" w:sz="4" w:space="0"/>
              <w:left w:val="single" w:color="auto" w:sz="4" w:space="0"/>
              <w:bottom w:val="single" w:color="auto" w:sz="4" w:space="0"/>
            </w:tcBorders>
            <w:noWrap w:val="0"/>
            <w:vAlign w:val="center"/>
          </w:tcPr>
          <w:p w14:paraId="165E9FD5">
            <w:pPr>
              <w:keepNext w:val="0"/>
              <w:keepLines w:val="0"/>
              <w:suppressLineNumbers w:val="0"/>
              <w:spacing w:before="0" w:beforeAutospacing="0" w:after="0" w:afterAutospacing="0"/>
              <w:ind w:left="0" w:right="0"/>
              <w:jc w:val="both"/>
              <w:rPr>
                <w:rFonts w:hint="default"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首家友</w:t>
            </w:r>
          </w:p>
        </w:tc>
        <w:tc>
          <w:tcPr>
            <w:tcW w:w="747" w:type="pct"/>
            <w:tcBorders>
              <w:top w:val="single" w:color="auto" w:sz="4" w:space="0"/>
              <w:bottom w:val="single" w:color="auto" w:sz="4" w:space="0"/>
            </w:tcBorders>
            <w:noWrap w:val="0"/>
            <w:vAlign w:val="center"/>
          </w:tcPr>
          <w:p w14:paraId="1E52CD6D">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县市场监管局</w:t>
            </w:r>
          </w:p>
        </w:tc>
        <w:tc>
          <w:tcPr>
            <w:tcW w:w="927" w:type="pct"/>
            <w:tcBorders>
              <w:top w:val="single" w:color="auto" w:sz="4" w:space="0"/>
              <w:bottom w:val="single" w:color="auto" w:sz="4" w:space="0"/>
            </w:tcBorders>
            <w:noWrap w:val="0"/>
            <w:vAlign w:val="center"/>
          </w:tcPr>
          <w:p w14:paraId="01D00822">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val="en-US" w:eastAsia="zh-CN"/>
              </w:rPr>
            </w:pPr>
            <w:r>
              <w:rPr>
                <w:rFonts w:hint="eastAsia" w:ascii="仿宋_GB2312" w:hAnsi="仿宋_GB2312" w:eastAsia="仿宋_GB2312" w:cs="仿宋_GB2312"/>
                <w:color w:val="000000"/>
                <w:kern w:val="2"/>
                <w:sz w:val="24"/>
                <w:szCs w:val="22"/>
                <w:lang w:val="en-US" w:eastAsia="zh-CN" w:bidi="ar-SA"/>
              </w:rPr>
              <w:t>标准化管理工作</w:t>
            </w:r>
          </w:p>
        </w:tc>
        <w:tc>
          <w:tcPr>
            <w:tcW w:w="928" w:type="pct"/>
            <w:tcBorders>
              <w:top w:val="single" w:color="auto" w:sz="4" w:space="0"/>
              <w:bottom w:val="single" w:color="auto" w:sz="4" w:space="0"/>
            </w:tcBorders>
            <w:noWrap w:val="0"/>
            <w:vAlign w:val="center"/>
          </w:tcPr>
          <w:p w14:paraId="37AE1D12">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钟山县市场监管局</w:t>
            </w:r>
          </w:p>
        </w:tc>
        <w:tc>
          <w:tcPr>
            <w:tcW w:w="1771" w:type="pct"/>
            <w:tcBorders>
              <w:top w:val="single" w:color="auto" w:sz="4" w:space="0"/>
              <w:bottom w:val="single" w:color="auto" w:sz="4" w:space="0"/>
              <w:right w:val="single" w:color="auto" w:sz="4" w:space="0"/>
            </w:tcBorders>
            <w:noWrap w:val="0"/>
            <w:vAlign w:val="center"/>
          </w:tcPr>
          <w:p w14:paraId="6B466782">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参与标准编制工作，组织人员进行标准发布后的宣贯培训</w:t>
            </w:r>
            <w:r>
              <w:rPr>
                <w:rFonts w:hint="eastAsia" w:ascii="仿宋_GB2312" w:hAnsi="仿宋_GB2312" w:eastAsia="仿宋_GB2312" w:cs="仿宋_GB2312"/>
                <w:sz w:val="24"/>
                <w:lang w:eastAsia="zh-CN" w:bidi="ar"/>
              </w:rPr>
              <w:t>。</w:t>
            </w:r>
          </w:p>
        </w:tc>
      </w:tr>
      <w:tr w14:paraId="6E49830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625" w:type="pct"/>
            <w:tcBorders>
              <w:top w:val="single" w:color="auto" w:sz="4" w:space="0"/>
              <w:left w:val="single" w:color="auto" w:sz="4" w:space="0"/>
              <w:bottom w:val="single" w:color="auto" w:sz="4" w:space="0"/>
            </w:tcBorders>
            <w:noWrap w:val="0"/>
            <w:vAlign w:val="center"/>
          </w:tcPr>
          <w:p w14:paraId="280CD62A">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罗超</w:t>
            </w:r>
          </w:p>
        </w:tc>
        <w:tc>
          <w:tcPr>
            <w:tcW w:w="747" w:type="pct"/>
            <w:tcBorders>
              <w:top w:val="single" w:color="auto" w:sz="4" w:space="0"/>
              <w:bottom w:val="single" w:color="auto" w:sz="4" w:space="0"/>
            </w:tcBorders>
            <w:noWrap w:val="0"/>
            <w:vAlign w:val="center"/>
          </w:tcPr>
          <w:p w14:paraId="23C69B48">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助理工程师</w:t>
            </w:r>
          </w:p>
        </w:tc>
        <w:tc>
          <w:tcPr>
            <w:tcW w:w="927" w:type="pct"/>
            <w:tcBorders>
              <w:top w:val="single" w:color="auto" w:sz="4" w:space="0"/>
              <w:bottom w:val="single" w:color="auto" w:sz="4" w:space="0"/>
            </w:tcBorders>
            <w:noWrap w:val="0"/>
            <w:vAlign w:val="center"/>
          </w:tcPr>
          <w:p w14:paraId="5217C4C6">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从事检验检测工作</w:t>
            </w:r>
          </w:p>
        </w:tc>
        <w:tc>
          <w:tcPr>
            <w:tcW w:w="928" w:type="pct"/>
            <w:tcBorders>
              <w:top w:val="single" w:color="auto" w:sz="4" w:space="0"/>
              <w:bottom w:val="single" w:color="auto" w:sz="4" w:space="0"/>
            </w:tcBorders>
            <w:noWrap w:val="0"/>
            <w:vAlign w:val="center"/>
          </w:tcPr>
          <w:p w14:paraId="6FBF7764">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钟山县检验检测中心</w:t>
            </w:r>
          </w:p>
        </w:tc>
        <w:tc>
          <w:tcPr>
            <w:tcW w:w="1771" w:type="pct"/>
            <w:tcBorders>
              <w:top w:val="single" w:color="auto" w:sz="4" w:space="0"/>
              <w:bottom w:val="single" w:color="auto" w:sz="4" w:space="0"/>
              <w:right w:val="single" w:color="auto" w:sz="4" w:space="0"/>
            </w:tcBorders>
            <w:noWrap w:val="0"/>
            <w:vAlign w:val="center"/>
          </w:tcPr>
          <w:p w14:paraId="19A34C8E">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参与标准编制工作，组织人员进行标准发布后的宣贯培训。</w:t>
            </w:r>
          </w:p>
        </w:tc>
      </w:tr>
      <w:tr w14:paraId="788E01F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625" w:type="pct"/>
            <w:tcBorders>
              <w:top w:val="single" w:color="auto" w:sz="4" w:space="0"/>
              <w:left w:val="single" w:color="auto" w:sz="4" w:space="0"/>
              <w:bottom w:val="single" w:color="auto" w:sz="4" w:space="0"/>
            </w:tcBorders>
            <w:noWrap w:val="0"/>
            <w:vAlign w:val="center"/>
          </w:tcPr>
          <w:p w14:paraId="6DC1A996">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罗坚</w:t>
            </w:r>
          </w:p>
        </w:tc>
        <w:tc>
          <w:tcPr>
            <w:tcW w:w="747" w:type="pct"/>
            <w:tcBorders>
              <w:top w:val="single" w:color="auto" w:sz="4" w:space="0"/>
              <w:bottom w:val="single" w:color="auto" w:sz="4" w:space="0"/>
            </w:tcBorders>
            <w:noWrap w:val="0"/>
            <w:vAlign w:val="center"/>
          </w:tcPr>
          <w:p w14:paraId="13D8CC95">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bidi="ar"/>
              </w:rPr>
            </w:pPr>
            <w:r>
              <w:rPr>
                <w:rFonts w:hint="eastAsia" w:ascii="仿宋_GB2312" w:hAnsi="仿宋_GB2312" w:eastAsia="仿宋_GB2312" w:cs="仿宋_GB2312"/>
                <w:sz w:val="24"/>
                <w:lang w:val="en-US" w:eastAsia="zh-CN" w:bidi="ar"/>
              </w:rPr>
              <w:t>助理工程师</w:t>
            </w:r>
          </w:p>
        </w:tc>
        <w:tc>
          <w:tcPr>
            <w:tcW w:w="927" w:type="pct"/>
            <w:tcBorders>
              <w:top w:val="single" w:color="auto" w:sz="4" w:space="0"/>
              <w:bottom w:val="single" w:color="auto" w:sz="4" w:space="0"/>
            </w:tcBorders>
            <w:noWrap w:val="0"/>
            <w:vAlign w:val="center"/>
          </w:tcPr>
          <w:p w14:paraId="162B75A4">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bidi="ar"/>
              </w:rPr>
            </w:pPr>
            <w:r>
              <w:rPr>
                <w:rFonts w:hint="eastAsia" w:ascii="仿宋_GB2312" w:hAnsi="仿宋_GB2312" w:eastAsia="仿宋_GB2312" w:cs="仿宋_GB2312"/>
                <w:sz w:val="24"/>
                <w:lang w:val="en-US" w:eastAsia="zh-CN" w:bidi="ar"/>
              </w:rPr>
              <w:t>从事检验检测工作</w:t>
            </w:r>
          </w:p>
        </w:tc>
        <w:tc>
          <w:tcPr>
            <w:tcW w:w="928" w:type="pct"/>
            <w:tcBorders>
              <w:top w:val="single" w:color="auto" w:sz="4" w:space="0"/>
              <w:bottom w:val="single" w:color="auto" w:sz="4" w:space="0"/>
            </w:tcBorders>
            <w:noWrap w:val="0"/>
            <w:vAlign w:val="center"/>
          </w:tcPr>
          <w:p w14:paraId="780A8BE7">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bidi="ar"/>
              </w:rPr>
            </w:pPr>
            <w:r>
              <w:rPr>
                <w:rFonts w:hint="eastAsia" w:ascii="仿宋_GB2312" w:hAnsi="仿宋_GB2312" w:eastAsia="仿宋_GB2312" w:cs="仿宋_GB2312"/>
                <w:sz w:val="24"/>
                <w:lang w:val="en-US" w:eastAsia="zh-CN" w:bidi="ar"/>
              </w:rPr>
              <w:t>钟山县检验检测中心</w:t>
            </w:r>
          </w:p>
        </w:tc>
        <w:tc>
          <w:tcPr>
            <w:tcW w:w="1771" w:type="pct"/>
            <w:tcBorders>
              <w:top w:val="single" w:color="auto" w:sz="4" w:space="0"/>
              <w:bottom w:val="single" w:color="auto" w:sz="4" w:space="0"/>
              <w:right w:val="single" w:color="auto" w:sz="4" w:space="0"/>
            </w:tcBorders>
            <w:noWrap w:val="0"/>
            <w:vAlign w:val="center"/>
          </w:tcPr>
          <w:p w14:paraId="4454EB16">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负责</w:t>
            </w:r>
            <w:r>
              <w:rPr>
                <w:rFonts w:hint="default" w:ascii="仿宋_GB2312" w:hAnsi="仿宋_GB2312" w:eastAsia="仿宋_GB2312" w:cs="仿宋_GB2312"/>
                <w:sz w:val="24"/>
                <w:lang w:bidi="ar"/>
              </w:rPr>
              <w:t>标准</w:t>
            </w:r>
            <w:r>
              <w:rPr>
                <w:rFonts w:hint="eastAsia" w:ascii="仿宋_GB2312" w:hAnsi="仿宋_GB2312" w:eastAsia="仿宋_GB2312" w:cs="仿宋_GB2312"/>
                <w:sz w:val="24"/>
                <w:lang w:bidi="ar"/>
              </w:rPr>
              <w:t>编制</w:t>
            </w:r>
            <w:r>
              <w:rPr>
                <w:rFonts w:hint="default" w:ascii="仿宋_GB2312" w:hAnsi="仿宋_GB2312" w:eastAsia="仿宋_GB2312" w:cs="仿宋_GB2312"/>
                <w:sz w:val="24"/>
                <w:lang w:bidi="ar"/>
              </w:rPr>
              <w:t>过程</w:t>
            </w:r>
            <w:r>
              <w:rPr>
                <w:rFonts w:hint="eastAsia" w:ascii="仿宋_GB2312" w:hAnsi="仿宋_GB2312" w:eastAsia="仿宋_GB2312" w:cs="仿宋_GB2312"/>
                <w:sz w:val="24"/>
                <w:lang w:bidi="ar"/>
              </w:rPr>
              <w:t>资料</w:t>
            </w:r>
            <w:r>
              <w:rPr>
                <w:rFonts w:hint="default" w:ascii="仿宋_GB2312" w:hAnsi="仿宋_GB2312" w:eastAsia="仿宋_GB2312" w:cs="仿宋_GB2312"/>
                <w:sz w:val="24"/>
                <w:lang w:bidi="ar"/>
              </w:rPr>
              <w:t>的收集、整理和归档</w:t>
            </w:r>
            <w:r>
              <w:rPr>
                <w:rFonts w:hint="eastAsia" w:ascii="仿宋_GB2312" w:hAnsi="仿宋_GB2312" w:eastAsia="仿宋_GB2312" w:cs="仿宋_GB2312"/>
                <w:sz w:val="24"/>
                <w:lang w:bidi="ar"/>
              </w:rPr>
              <w:t>。</w:t>
            </w:r>
          </w:p>
        </w:tc>
      </w:tr>
      <w:tr w14:paraId="28D084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625" w:type="pct"/>
            <w:tcBorders>
              <w:top w:val="single" w:color="auto" w:sz="4" w:space="0"/>
              <w:left w:val="single" w:color="auto" w:sz="4" w:space="0"/>
              <w:bottom w:val="single" w:color="auto" w:sz="4" w:space="0"/>
            </w:tcBorders>
            <w:noWrap w:val="0"/>
            <w:vAlign w:val="center"/>
          </w:tcPr>
          <w:p w14:paraId="23A16942">
            <w:pPr>
              <w:keepNext w:val="0"/>
              <w:keepLines w:val="0"/>
              <w:suppressLineNumbers w:val="0"/>
              <w:spacing w:before="0" w:beforeAutospacing="0" w:after="0" w:afterAutospacing="0"/>
              <w:ind w:left="0" w:right="0"/>
              <w:jc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lang w:eastAsia="zh-CN"/>
              </w:rPr>
              <w:t>黄晓钰</w:t>
            </w:r>
          </w:p>
        </w:tc>
        <w:tc>
          <w:tcPr>
            <w:tcW w:w="747" w:type="pct"/>
            <w:tcBorders>
              <w:top w:val="single" w:color="auto" w:sz="4" w:space="0"/>
              <w:bottom w:val="single" w:color="auto" w:sz="4" w:space="0"/>
            </w:tcBorders>
            <w:noWrap w:val="0"/>
            <w:vAlign w:val="center"/>
          </w:tcPr>
          <w:p w14:paraId="55DA27C5">
            <w:pPr>
              <w:keepNext w:val="0"/>
              <w:keepLines w:val="0"/>
              <w:suppressLineNumbers w:val="0"/>
              <w:spacing w:before="0" w:beforeAutospacing="0" w:after="0" w:afterAutospacing="0"/>
              <w:ind w:left="0" w:right="0"/>
              <w:jc w:val="center"/>
              <w:rPr>
                <w:rFonts w:hint="default" w:ascii="仿宋_GB2312" w:hAnsi="仿宋_GB2312" w:eastAsia="仿宋_GB2312" w:cs="仿宋_GB2312"/>
                <w:kern w:val="2"/>
                <w:sz w:val="24"/>
                <w:szCs w:val="24"/>
                <w:lang w:val="en-US" w:eastAsia="zh-CN" w:bidi="ar-SA"/>
              </w:rPr>
            </w:pPr>
            <w:r>
              <w:rPr>
                <w:rFonts w:hint="eastAsia" w:ascii="仿宋_GB2312" w:hAnsi="仿宋_GB2312" w:eastAsia="仿宋_GB2312" w:cs="仿宋_GB2312"/>
                <w:kern w:val="2"/>
                <w:sz w:val="24"/>
                <w:szCs w:val="24"/>
                <w:lang w:val="en-US" w:eastAsia="zh-CN" w:bidi="ar-SA"/>
              </w:rPr>
              <w:t>工作人员</w:t>
            </w:r>
          </w:p>
        </w:tc>
        <w:tc>
          <w:tcPr>
            <w:tcW w:w="927" w:type="pct"/>
            <w:tcBorders>
              <w:top w:val="single" w:color="auto" w:sz="4" w:space="0"/>
              <w:bottom w:val="single" w:color="auto" w:sz="4" w:space="0"/>
            </w:tcBorders>
            <w:noWrap w:val="0"/>
            <w:vAlign w:val="center"/>
          </w:tcPr>
          <w:p w14:paraId="114808CE">
            <w:pPr>
              <w:keepNext w:val="0"/>
              <w:keepLines w:val="0"/>
              <w:suppressLineNumbers w:val="0"/>
              <w:spacing w:before="0" w:beforeAutospacing="0" w:after="0" w:afterAutospacing="0"/>
              <w:ind w:left="0" w:right="0"/>
              <w:jc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lang w:val="en-US" w:eastAsia="zh-CN" w:bidi="ar"/>
              </w:rPr>
              <w:t>从事检验检测工作</w:t>
            </w:r>
          </w:p>
        </w:tc>
        <w:tc>
          <w:tcPr>
            <w:tcW w:w="928" w:type="pct"/>
            <w:tcBorders>
              <w:top w:val="single" w:color="auto" w:sz="4" w:space="0"/>
              <w:bottom w:val="single" w:color="auto" w:sz="4" w:space="0"/>
            </w:tcBorders>
            <w:noWrap w:val="0"/>
            <w:vAlign w:val="center"/>
          </w:tcPr>
          <w:p w14:paraId="58519744">
            <w:pPr>
              <w:keepNext w:val="0"/>
              <w:keepLines w:val="0"/>
              <w:suppressLineNumbers w:val="0"/>
              <w:spacing w:before="0" w:beforeAutospacing="0" w:after="0" w:afterAutospacing="0"/>
              <w:ind w:left="0" w:right="0"/>
              <w:jc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lang w:val="en-US" w:eastAsia="zh-CN" w:bidi="ar"/>
              </w:rPr>
              <w:t>钟山县检验检测中心</w:t>
            </w:r>
          </w:p>
        </w:tc>
        <w:tc>
          <w:tcPr>
            <w:tcW w:w="1771" w:type="pct"/>
            <w:tcBorders>
              <w:top w:val="single" w:color="auto" w:sz="4" w:space="0"/>
              <w:bottom w:val="single" w:color="auto" w:sz="4" w:space="0"/>
              <w:right w:val="single" w:color="auto" w:sz="4" w:space="0"/>
            </w:tcBorders>
            <w:noWrap w:val="0"/>
            <w:vAlign w:val="center"/>
          </w:tcPr>
          <w:p w14:paraId="4E664BE4">
            <w:pPr>
              <w:keepNext w:val="0"/>
              <w:keepLines w:val="0"/>
              <w:suppressLineNumbers w:val="0"/>
              <w:spacing w:before="0" w:beforeAutospacing="0" w:after="0" w:afterAutospacing="0"/>
              <w:ind w:left="0" w:right="0"/>
              <w:jc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lang w:bidi="ar"/>
              </w:rPr>
              <w:t>负责</w:t>
            </w:r>
            <w:r>
              <w:rPr>
                <w:rFonts w:hint="default" w:ascii="仿宋_GB2312" w:hAnsi="仿宋_GB2312" w:eastAsia="仿宋_GB2312" w:cs="仿宋_GB2312"/>
                <w:sz w:val="24"/>
                <w:lang w:bidi="ar"/>
              </w:rPr>
              <w:t>标准</w:t>
            </w:r>
            <w:r>
              <w:rPr>
                <w:rFonts w:hint="eastAsia" w:ascii="仿宋_GB2312" w:hAnsi="仿宋_GB2312" w:eastAsia="仿宋_GB2312" w:cs="仿宋_GB2312"/>
                <w:sz w:val="24"/>
                <w:lang w:bidi="ar"/>
              </w:rPr>
              <w:t>编制</w:t>
            </w:r>
            <w:r>
              <w:rPr>
                <w:rFonts w:hint="default" w:ascii="仿宋_GB2312" w:hAnsi="仿宋_GB2312" w:eastAsia="仿宋_GB2312" w:cs="仿宋_GB2312"/>
                <w:sz w:val="24"/>
                <w:lang w:bidi="ar"/>
              </w:rPr>
              <w:t>过程</w:t>
            </w:r>
            <w:r>
              <w:rPr>
                <w:rFonts w:hint="eastAsia" w:ascii="仿宋_GB2312" w:hAnsi="仿宋_GB2312" w:eastAsia="仿宋_GB2312" w:cs="仿宋_GB2312"/>
                <w:sz w:val="24"/>
                <w:lang w:bidi="ar"/>
              </w:rPr>
              <w:t>资料</w:t>
            </w:r>
            <w:r>
              <w:rPr>
                <w:rFonts w:hint="default" w:ascii="仿宋_GB2312" w:hAnsi="仿宋_GB2312" w:eastAsia="仿宋_GB2312" w:cs="仿宋_GB2312"/>
                <w:sz w:val="24"/>
                <w:lang w:bidi="ar"/>
              </w:rPr>
              <w:t>的收集、整理和归档</w:t>
            </w:r>
            <w:r>
              <w:rPr>
                <w:rFonts w:hint="eastAsia" w:ascii="仿宋_GB2312" w:hAnsi="仿宋_GB2312" w:eastAsia="仿宋_GB2312" w:cs="仿宋_GB2312"/>
                <w:sz w:val="24"/>
                <w:lang w:bidi="ar"/>
              </w:rPr>
              <w:t>。</w:t>
            </w:r>
          </w:p>
        </w:tc>
      </w:tr>
      <w:tr w14:paraId="6B37D3C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625" w:type="pct"/>
            <w:tcBorders>
              <w:top w:val="single" w:color="auto" w:sz="4" w:space="0"/>
              <w:left w:val="single" w:color="auto" w:sz="4" w:space="0"/>
              <w:bottom w:val="single" w:color="auto" w:sz="4" w:space="0"/>
            </w:tcBorders>
            <w:noWrap w:val="0"/>
            <w:vAlign w:val="center"/>
          </w:tcPr>
          <w:p w14:paraId="637A7612">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莫登起</w:t>
            </w:r>
          </w:p>
        </w:tc>
        <w:tc>
          <w:tcPr>
            <w:tcW w:w="747" w:type="pct"/>
            <w:tcBorders>
              <w:top w:val="single" w:color="auto" w:sz="4" w:space="0"/>
              <w:bottom w:val="single" w:color="auto" w:sz="4" w:space="0"/>
            </w:tcBorders>
            <w:noWrap w:val="0"/>
            <w:vAlign w:val="center"/>
          </w:tcPr>
          <w:p w14:paraId="6A62E138">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高级农艺师</w:t>
            </w:r>
          </w:p>
        </w:tc>
        <w:tc>
          <w:tcPr>
            <w:tcW w:w="927" w:type="pct"/>
            <w:tcBorders>
              <w:top w:val="single" w:color="auto" w:sz="4" w:space="0"/>
              <w:bottom w:val="single" w:color="auto" w:sz="4" w:space="0"/>
            </w:tcBorders>
            <w:noWrap w:val="0"/>
            <w:vAlign w:val="center"/>
          </w:tcPr>
          <w:p w14:paraId="55E24FB0">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从事农产品安全工作</w:t>
            </w:r>
          </w:p>
        </w:tc>
        <w:tc>
          <w:tcPr>
            <w:tcW w:w="928" w:type="pct"/>
            <w:tcBorders>
              <w:top w:val="single" w:color="auto" w:sz="4" w:space="0"/>
              <w:bottom w:val="single" w:color="auto" w:sz="4" w:space="0"/>
            </w:tcBorders>
            <w:noWrap w:val="0"/>
            <w:vAlign w:val="center"/>
          </w:tcPr>
          <w:p w14:paraId="73C87882">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钟山县农业农村局</w:t>
            </w:r>
          </w:p>
        </w:tc>
        <w:tc>
          <w:tcPr>
            <w:tcW w:w="1771" w:type="pct"/>
            <w:tcBorders>
              <w:top w:val="single" w:color="auto" w:sz="4" w:space="0"/>
              <w:bottom w:val="single" w:color="auto" w:sz="4" w:space="0"/>
              <w:right w:val="single" w:color="auto" w:sz="4" w:space="0"/>
            </w:tcBorders>
            <w:noWrap w:val="0"/>
            <w:vAlign w:val="center"/>
          </w:tcPr>
          <w:p w14:paraId="2C7C414B">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73CB908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625" w:type="pct"/>
            <w:tcBorders>
              <w:top w:val="single" w:color="auto" w:sz="4" w:space="0"/>
              <w:left w:val="single" w:color="auto" w:sz="4" w:space="0"/>
              <w:bottom w:val="single" w:color="auto" w:sz="4" w:space="0"/>
            </w:tcBorders>
            <w:noWrap w:val="0"/>
            <w:vAlign w:val="center"/>
          </w:tcPr>
          <w:p w14:paraId="169F379C">
            <w:pPr>
              <w:keepNext w:val="0"/>
              <w:keepLines w:val="0"/>
              <w:suppressLineNumbers w:val="0"/>
              <w:spacing w:before="0" w:beforeAutospacing="0" w:after="0" w:afterAutospacing="0"/>
              <w:ind w:left="0" w:right="0"/>
              <w:jc w:val="center"/>
              <w:rPr>
                <w:rFonts w:hint="default" w:ascii="Times New Roman" w:hAnsi="Times New Roman" w:eastAsia="仿宋_GB2312" w:cs="Times New Roman"/>
                <w:kern w:val="2"/>
                <w:sz w:val="24"/>
                <w:szCs w:val="24"/>
                <w:lang w:val="en-US" w:eastAsia="zh-CN" w:bidi="ar-SA"/>
              </w:rPr>
            </w:pPr>
            <w:r>
              <w:rPr>
                <w:rFonts w:hint="eastAsia" w:ascii="仿宋_GB2312" w:hAnsi="仿宋_GB2312" w:eastAsia="仿宋_GB2312" w:cs="仿宋_GB2312"/>
                <w:sz w:val="24"/>
                <w:lang w:eastAsia="zh-CN"/>
              </w:rPr>
              <w:t>陈世通</w:t>
            </w:r>
          </w:p>
        </w:tc>
        <w:tc>
          <w:tcPr>
            <w:tcW w:w="747" w:type="pct"/>
            <w:tcBorders>
              <w:top w:val="single" w:color="auto" w:sz="4" w:space="0"/>
              <w:bottom w:val="single" w:color="auto" w:sz="4" w:space="0"/>
            </w:tcBorders>
            <w:noWrap w:val="0"/>
            <w:vAlign w:val="center"/>
          </w:tcPr>
          <w:p w14:paraId="3BA0E7A1">
            <w:pPr>
              <w:keepNext w:val="0"/>
              <w:keepLines w:val="0"/>
              <w:suppressLineNumbers w:val="0"/>
              <w:spacing w:before="0" w:beforeAutospacing="0" w:after="0" w:afterAutospacing="0"/>
              <w:ind w:left="0" w:right="0"/>
              <w:jc w:val="center"/>
              <w:rPr>
                <w:rFonts w:hint="default" w:ascii="Times New Roman" w:hAnsi="Times New Roman" w:eastAsia="仿宋_GB2312" w:cs="Times New Roman"/>
                <w:kern w:val="2"/>
                <w:sz w:val="24"/>
                <w:szCs w:val="24"/>
                <w:lang w:val="en-US" w:eastAsia="zh-CN" w:bidi="ar-SA"/>
              </w:rPr>
            </w:pPr>
            <w:r>
              <w:rPr>
                <w:rFonts w:hint="eastAsia" w:ascii="仿宋_GB2312" w:hAnsi="仿宋_GB2312" w:eastAsia="仿宋_GB2312" w:cs="仿宋_GB2312"/>
                <w:sz w:val="24"/>
                <w:lang w:val="en-US" w:eastAsia="zh-CN"/>
              </w:rPr>
              <w:t>董事长</w:t>
            </w:r>
          </w:p>
        </w:tc>
        <w:tc>
          <w:tcPr>
            <w:tcW w:w="927" w:type="pct"/>
            <w:tcBorders>
              <w:top w:val="single" w:color="auto" w:sz="4" w:space="0"/>
              <w:bottom w:val="single" w:color="auto" w:sz="4" w:space="0"/>
            </w:tcBorders>
            <w:noWrap w:val="0"/>
            <w:vAlign w:val="center"/>
          </w:tcPr>
          <w:p w14:paraId="081C3874">
            <w:pPr>
              <w:keepNext w:val="0"/>
              <w:keepLines w:val="0"/>
              <w:suppressLineNumbers w:val="0"/>
              <w:spacing w:before="0" w:beforeAutospacing="0" w:after="0" w:afterAutospacing="0"/>
              <w:ind w:left="0" w:right="0"/>
              <w:jc w:val="center"/>
              <w:rPr>
                <w:rFonts w:hint="default" w:ascii="Times New Roman" w:hAnsi="Times New Roman" w:eastAsia="仿宋_GB2312" w:cs="Times New Roman"/>
                <w:kern w:val="2"/>
                <w:sz w:val="24"/>
                <w:szCs w:val="24"/>
                <w:lang w:val="en-US" w:eastAsia="zh-CN" w:bidi="ar-SA"/>
              </w:rPr>
            </w:pPr>
            <w:r>
              <w:rPr>
                <w:rFonts w:hint="eastAsia" w:ascii="仿宋_GB2312" w:hAnsi="仿宋_GB2312" w:eastAsia="仿宋_GB2312" w:cs="仿宋_GB2312"/>
                <w:sz w:val="24"/>
                <w:lang w:eastAsia="zh-CN"/>
              </w:rPr>
              <w:t>食品质量与安全</w:t>
            </w:r>
          </w:p>
        </w:tc>
        <w:tc>
          <w:tcPr>
            <w:tcW w:w="928" w:type="pct"/>
            <w:tcBorders>
              <w:top w:val="single" w:color="auto" w:sz="4" w:space="0"/>
              <w:bottom w:val="single" w:color="auto" w:sz="4" w:space="0"/>
            </w:tcBorders>
            <w:noWrap w:val="0"/>
            <w:vAlign w:val="center"/>
          </w:tcPr>
          <w:p w14:paraId="305B117F">
            <w:pPr>
              <w:keepNext w:val="0"/>
              <w:keepLines w:val="0"/>
              <w:suppressLineNumbers w:val="0"/>
              <w:spacing w:before="0" w:beforeAutospacing="0" w:after="0" w:afterAutospacing="0"/>
              <w:ind w:left="0" w:right="0"/>
              <w:jc w:val="center"/>
              <w:rPr>
                <w:rFonts w:hint="default" w:ascii="Times New Roman" w:hAnsi="Times New Roman" w:eastAsia="仿宋_GB2312" w:cs="Times New Roman"/>
                <w:kern w:val="2"/>
                <w:sz w:val="24"/>
                <w:szCs w:val="24"/>
                <w:lang w:val="en-US" w:eastAsia="zh-CN" w:bidi="ar-SA"/>
              </w:rPr>
            </w:pPr>
            <w:r>
              <w:rPr>
                <w:rFonts w:hint="eastAsia" w:ascii="仿宋_GB2312" w:hAnsi="仿宋_GB2312" w:eastAsia="仿宋_GB2312" w:cs="仿宋_GB2312"/>
                <w:sz w:val="24"/>
                <w:lang w:eastAsia="zh-CN"/>
              </w:rPr>
              <w:t>广西中盈生态农业科技有限公司</w:t>
            </w:r>
          </w:p>
        </w:tc>
        <w:tc>
          <w:tcPr>
            <w:tcW w:w="1771" w:type="pct"/>
            <w:tcBorders>
              <w:top w:val="single" w:color="auto" w:sz="4" w:space="0"/>
              <w:bottom w:val="single" w:color="auto" w:sz="4" w:space="0"/>
              <w:right w:val="single" w:color="auto" w:sz="4" w:space="0"/>
            </w:tcBorders>
            <w:noWrap w:val="0"/>
            <w:vAlign w:val="center"/>
          </w:tcPr>
          <w:p w14:paraId="50095220">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3AFCCB7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625" w:type="pct"/>
            <w:tcBorders>
              <w:top w:val="single" w:color="auto" w:sz="4" w:space="0"/>
              <w:left w:val="single" w:color="auto" w:sz="4" w:space="0"/>
              <w:bottom w:val="single" w:color="auto" w:sz="4" w:space="0"/>
            </w:tcBorders>
            <w:noWrap w:val="0"/>
            <w:vAlign w:val="center"/>
          </w:tcPr>
          <w:p w14:paraId="0B377A37">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吴三妹</w:t>
            </w:r>
          </w:p>
        </w:tc>
        <w:tc>
          <w:tcPr>
            <w:tcW w:w="747" w:type="pct"/>
            <w:tcBorders>
              <w:top w:val="single" w:color="auto" w:sz="4" w:space="0"/>
              <w:bottom w:val="single" w:color="auto" w:sz="4" w:space="0"/>
            </w:tcBorders>
            <w:noWrap w:val="0"/>
            <w:vAlign w:val="center"/>
          </w:tcPr>
          <w:p w14:paraId="0628FC08">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经理</w:t>
            </w:r>
          </w:p>
        </w:tc>
        <w:tc>
          <w:tcPr>
            <w:tcW w:w="927" w:type="pct"/>
            <w:tcBorders>
              <w:top w:val="single" w:color="auto" w:sz="4" w:space="0"/>
              <w:bottom w:val="single" w:color="auto" w:sz="4" w:space="0"/>
            </w:tcBorders>
            <w:noWrap w:val="0"/>
            <w:vAlign w:val="center"/>
          </w:tcPr>
          <w:p w14:paraId="7390D59E">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val="en-US" w:bidi="ar"/>
              </w:rPr>
            </w:pPr>
            <w:r>
              <w:rPr>
                <w:rFonts w:hint="eastAsia" w:ascii="仿宋_GB2312" w:hAnsi="仿宋_GB2312" w:eastAsia="仿宋_GB2312" w:cs="仿宋_GB2312"/>
                <w:sz w:val="24"/>
                <w:lang w:eastAsia="zh-CN"/>
              </w:rPr>
              <w:t>食品质量与安全</w:t>
            </w:r>
            <w:r>
              <w:rPr>
                <w:rFonts w:hint="eastAsia" w:ascii="仿宋_GB2312" w:hAnsi="仿宋_GB2312" w:eastAsia="仿宋_GB2312" w:cs="仿宋_GB2312"/>
                <w:sz w:val="24"/>
                <w:lang w:val="en-US" w:eastAsia="zh-CN"/>
              </w:rPr>
              <w:t>管理</w:t>
            </w:r>
          </w:p>
        </w:tc>
        <w:tc>
          <w:tcPr>
            <w:tcW w:w="928" w:type="pct"/>
            <w:tcBorders>
              <w:top w:val="single" w:color="auto" w:sz="4" w:space="0"/>
              <w:bottom w:val="single" w:color="auto" w:sz="4" w:space="0"/>
            </w:tcBorders>
            <w:noWrap w:val="0"/>
            <w:vAlign w:val="center"/>
          </w:tcPr>
          <w:p w14:paraId="7E2BA1A9">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钟山县丰源农产品加工厂</w:t>
            </w:r>
          </w:p>
        </w:tc>
        <w:tc>
          <w:tcPr>
            <w:tcW w:w="1771" w:type="pct"/>
            <w:tcBorders>
              <w:top w:val="single" w:color="auto" w:sz="4" w:space="0"/>
              <w:bottom w:val="single" w:color="auto" w:sz="4" w:space="0"/>
              <w:right w:val="single" w:color="auto" w:sz="4" w:space="0"/>
            </w:tcBorders>
            <w:noWrap w:val="0"/>
            <w:vAlign w:val="center"/>
          </w:tcPr>
          <w:p w14:paraId="12AB9D0D">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负责</w:t>
            </w:r>
            <w:r>
              <w:rPr>
                <w:rFonts w:hint="default" w:ascii="仿宋_GB2312" w:hAnsi="仿宋_GB2312" w:eastAsia="仿宋_GB2312" w:cs="仿宋_GB2312"/>
                <w:sz w:val="24"/>
                <w:lang w:bidi="ar"/>
              </w:rPr>
              <w:t>标准</w:t>
            </w:r>
            <w:r>
              <w:rPr>
                <w:rFonts w:hint="eastAsia" w:ascii="仿宋_GB2312" w:hAnsi="仿宋_GB2312" w:eastAsia="仿宋_GB2312" w:cs="仿宋_GB2312"/>
                <w:sz w:val="24"/>
                <w:lang w:bidi="ar"/>
              </w:rPr>
              <w:t>编制</w:t>
            </w:r>
            <w:r>
              <w:rPr>
                <w:rFonts w:hint="default" w:ascii="仿宋_GB2312" w:hAnsi="仿宋_GB2312" w:eastAsia="仿宋_GB2312" w:cs="仿宋_GB2312"/>
                <w:sz w:val="24"/>
                <w:lang w:bidi="ar"/>
              </w:rPr>
              <w:t>过程</w:t>
            </w:r>
            <w:r>
              <w:rPr>
                <w:rFonts w:hint="eastAsia" w:ascii="仿宋_GB2312" w:hAnsi="仿宋_GB2312" w:eastAsia="仿宋_GB2312" w:cs="仿宋_GB2312"/>
                <w:sz w:val="24"/>
                <w:lang w:bidi="ar"/>
              </w:rPr>
              <w:t>资料</w:t>
            </w:r>
            <w:r>
              <w:rPr>
                <w:rFonts w:hint="default" w:ascii="仿宋_GB2312" w:hAnsi="仿宋_GB2312" w:eastAsia="仿宋_GB2312" w:cs="仿宋_GB2312"/>
                <w:sz w:val="24"/>
                <w:lang w:bidi="ar"/>
              </w:rPr>
              <w:t>的收集、整理和归档</w:t>
            </w:r>
            <w:r>
              <w:rPr>
                <w:rFonts w:hint="eastAsia" w:ascii="仿宋_GB2312" w:hAnsi="仿宋_GB2312" w:eastAsia="仿宋_GB2312" w:cs="仿宋_GB2312"/>
                <w:sz w:val="24"/>
                <w:lang w:bidi="ar"/>
              </w:rPr>
              <w:t>。</w:t>
            </w:r>
          </w:p>
        </w:tc>
      </w:tr>
      <w:tr w14:paraId="2D6916C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625" w:type="pct"/>
            <w:tcBorders>
              <w:top w:val="single" w:color="auto" w:sz="4" w:space="0"/>
              <w:left w:val="single" w:color="auto" w:sz="4" w:space="0"/>
              <w:bottom w:val="single" w:color="auto" w:sz="4" w:space="0"/>
            </w:tcBorders>
            <w:noWrap w:val="0"/>
            <w:vAlign w:val="center"/>
          </w:tcPr>
          <w:p w14:paraId="54E71598">
            <w:pPr>
              <w:keepNext w:val="0"/>
              <w:keepLines w:val="0"/>
              <w:suppressLineNumbers w:val="0"/>
              <w:spacing w:before="0" w:beforeAutospacing="0" w:after="0" w:afterAutospacing="0"/>
              <w:ind w:left="0" w:right="0"/>
              <w:jc w:val="center"/>
              <w:rPr>
                <w:rFonts w:hint="eastAsia"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val="en-US" w:eastAsia="zh-CN" w:bidi="ar"/>
              </w:rPr>
              <w:t>陈家杰</w:t>
            </w:r>
          </w:p>
        </w:tc>
        <w:tc>
          <w:tcPr>
            <w:tcW w:w="747" w:type="pct"/>
            <w:tcBorders>
              <w:top w:val="single" w:color="auto" w:sz="4" w:space="0"/>
              <w:bottom w:val="single" w:color="auto" w:sz="4" w:space="0"/>
            </w:tcBorders>
            <w:noWrap w:val="0"/>
            <w:vAlign w:val="center"/>
          </w:tcPr>
          <w:p w14:paraId="5B2179A1">
            <w:pPr>
              <w:keepNext w:val="0"/>
              <w:keepLines w:val="0"/>
              <w:suppressLineNumbers w:val="0"/>
              <w:spacing w:before="0" w:beforeAutospacing="0" w:after="0" w:afterAutospacing="0"/>
              <w:ind w:left="0" w:right="0"/>
              <w:jc w:val="center"/>
              <w:rPr>
                <w:rFonts w:hint="default" w:ascii="仿宋_GB2312" w:hAnsi="仿宋_GB2312" w:eastAsia="仿宋_GB2312" w:cs="仿宋_GB2312"/>
                <w:kern w:val="2"/>
                <w:sz w:val="24"/>
                <w:szCs w:val="24"/>
                <w:lang w:val="en-US" w:eastAsia="zh-CN" w:bidi="ar"/>
              </w:rPr>
            </w:pPr>
            <w:r>
              <w:rPr>
                <w:rFonts w:hint="eastAsia" w:ascii="仿宋_GB2312" w:hAnsi="仿宋_GB2312" w:eastAsia="仿宋_GB2312" w:cs="仿宋_GB2312"/>
                <w:kern w:val="2"/>
                <w:sz w:val="24"/>
                <w:szCs w:val="24"/>
                <w:lang w:val="en-US" w:eastAsia="zh-CN" w:bidi="ar"/>
              </w:rPr>
              <w:t>工作人员</w:t>
            </w:r>
          </w:p>
        </w:tc>
        <w:tc>
          <w:tcPr>
            <w:tcW w:w="927" w:type="pct"/>
            <w:tcBorders>
              <w:top w:val="single" w:color="auto" w:sz="4" w:space="0"/>
              <w:bottom w:val="single" w:color="auto" w:sz="4" w:space="0"/>
            </w:tcBorders>
            <w:noWrap w:val="0"/>
            <w:vAlign w:val="center"/>
          </w:tcPr>
          <w:p w14:paraId="1B15A41C">
            <w:pPr>
              <w:keepNext w:val="0"/>
              <w:keepLines w:val="0"/>
              <w:suppressLineNumbers w:val="0"/>
              <w:spacing w:before="0" w:beforeAutospacing="0" w:after="0" w:afterAutospacing="0"/>
              <w:ind w:left="0" w:right="0"/>
              <w:jc w:val="center"/>
              <w:rPr>
                <w:rFonts w:hint="eastAsia"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val="en-US" w:eastAsia="zh-CN" w:bidi="ar"/>
              </w:rPr>
              <w:t>农业农产品安全工作</w:t>
            </w:r>
          </w:p>
        </w:tc>
        <w:tc>
          <w:tcPr>
            <w:tcW w:w="928" w:type="pct"/>
            <w:tcBorders>
              <w:top w:val="single" w:color="auto" w:sz="4" w:space="0"/>
              <w:bottom w:val="single" w:color="auto" w:sz="4" w:space="0"/>
            </w:tcBorders>
            <w:noWrap w:val="0"/>
            <w:vAlign w:val="center"/>
          </w:tcPr>
          <w:p w14:paraId="3403C8FE">
            <w:pPr>
              <w:keepNext w:val="0"/>
              <w:keepLines w:val="0"/>
              <w:suppressLineNumbers w:val="0"/>
              <w:spacing w:before="0" w:beforeAutospacing="0" w:after="0" w:afterAutospacing="0"/>
              <w:ind w:left="0" w:right="0"/>
              <w:jc w:val="center"/>
              <w:rPr>
                <w:rFonts w:hint="default"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val="en-US" w:eastAsia="zh-CN" w:bidi="ar"/>
              </w:rPr>
              <w:t>钟山县红花镇农业服务中心</w:t>
            </w:r>
          </w:p>
        </w:tc>
        <w:tc>
          <w:tcPr>
            <w:tcW w:w="1771" w:type="pct"/>
            <w:tcBorders>
              <w:top w:val="single" w:color="auto" w:sz="4" w:space="0"/>
              <w:bottom w:val="single" w:color="auto" w:sz="4" w:space="0"/>
              <w:right w:val="single" w:color="auto" w:sz="4" w:space="0"/>
            </w:tcBorders>
            <w:noWrap w:val="0"/>
            <w:vAlign w:val="center"/>
          </w:tcPr>
          <w:p w14:paraId="69D55E32">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对标准实施情况进行总结分析，不断对标准提出修正意见。</w:t>
            </w:r>
          </w:p>
        </w:tc>
      </w:tr>
      <w:bookmarkEnd w:id="3"/>
    </w:tbl>
    <w:p w14:paraId="6BE1CEB3">
      <w:pPr>
        <w:autoSpaceDE w:val="0"/>
        <w:autoSpaceDN w:val="0"/>
        <w:adjustRightInd w:val="0"/>
        <w:spacing w:before="156" w:beforeLines="50" w:after="156" w:afterLines="50" w:line="560" w:lineRule="exact"/>
        <w:ind w:firstLine="640" w:firstLineChars="200"/>
        <w:jc w:val="left"/>
        <w:rPr>
          <w:rFonts w:ascii="黑体" w:hAnsi="黑体" w:eastAsia="黑体" w:cs="仿宋_GB2312"/>
          <w:sz w:val="32"/>
          <w:szCs w:val="32"/>
        </w:rPr>
      </w:pPr>
      <w:r>
        <w:rPr>
          <w:rFonts w:hint="eastAsia" w:ascii="黑体" w:hAnsi="黑体" w:eastAsia="黑体" w:cs="仿宋_GB2312"/>
          <w:sz w:val="32"/>
          <w:szCs w:val="32"/>
        </w:rPr>
        <w:t>二、制定标准的必要性和意义</w:t>
      </w:r>
    </w:p>
    <w:p w14:paraId="0666A9C1">
      <w:pPr>
        <w:autoSpaceDE w:val="0"/>
        <w:autoSpaceDN w:val="0"/>
        <w:adjustRightInd w:val="0"/>
        <w:spacing w:before="156" w:beforeLines="50" w:after="156" w:afterLines="50" w:line="560" w:lineRule="exact"/>
        <w:ind w:firstLine="640" w:firstLineChars="200"/>
        <w:rPr>
          <w:rFonts w:hint="eastAsia" w:ascii="仿宋_GB2312" w:hAnsi="宋体" w:eastAsia="仿宋_GB2312"/>
          <w:sz w:val="32"/>
          <w:szCs w:val="28"/>
        </w:rPr>
      </w:pPr>
      <w:r>
        <w:rPr>
          <w:rFonts w:hint="eastAsia" w:ascii="仿宋_GB2312" w:hAnsi="宋体" w:eastAsia="仿宋_GB2312"/>
          <w:sz w:val="32"/>
          <w:szCs w:val="28"/>
        </w:rPr>
        <w:t>腐皮一词最早出现在李时珍《本草纲目》中，是将豆浆加热煮沸后，经过一段时间保温，表面形成一层薄膜，挑出后下垂成枝条状，再经干燥而成。其形类似竹枝状，称为腐竹。腐竹是一种由大豆蛋白膜和脂肪组合成的一定结构的产物。腐竹的质量分3个等级，颜色越浅，营养价值越高。腐竹含丰富的蛋白质而含水量少；且含有类似黄豆的营养成分，如黄豆蛋白还有膳食纤维及碳水化合物等，总的来说，腐竹营养价值高、易于保存、食用方便，深受国内外消费者的青睐。</w:t>
      </w:r>
    </w:p>
    <w:p w14:paraId="15EFEDF0">
      <w:pPr>
        <w:autoSpaceDE w:val="0"/>
        <w:autoSpaceDN w:val="0"/>
        <w:adjustRightInd w:val="0"/>
        <w:spacing w:before="156" w:beforeLines="50" w:after="156" w:afterLines="50" w:line="560" w:lineRule="exact"/>
        <w:ind w:firstLine="640" w:firstLineChars="200"/>
        <w:rPr>
          <w:rFonts w:hint="eastAsia" w:ascii="仿宋_GB2312" w:hAnsi="宋体" w:eastAsia="仿宋_GB2312"/>
          <w:sz w:val="32"/>
          <w:szCs w:val="28"/>
        </w:rPr>
      </w:pPr>
      <w:r>
        <w:rPr>
          <w:rFonts w:hint="eastAsia" w:ascii="仿宋_GB2312" w:hAnsi="宋体" w:eastAsia="仿宋_GB2312"/>
          <w:sz w:val="32"/>
          <w:szCs w:val="28"/>
        </w:rPr>
        <w:t>红花腐竹是钟山县十大特产之一，被誉为钟山“三宝”之一。因其在制作过程中采用天然山泉水、精选优质黄豆、传统制作工艺且不添加食品添加剂等，造就了红花腐竹口感独特、色泽金黄、绿色养生、宜吃宜送的品牌优势，颇受市场青睐。近年来，钟山县按照“一镇一业，一村一品”的发展定位，引导红花镇依托资源优势，积极传承传统腐竹制作工艺，大力发展地方特色产业，全力打响“红花腐竹”品牌。依托现有良好的产业基础，鼓励“一豆多吃”，加快传统产业转型升级，推动传统腐竹产业做大做强，推进乡村产业振兴。腐竹制作是红花镇的传统手工艺，包括选豆、浸泡、磨浆、煮浆、结皮、烘干、切断、称重、包装等一系列工序。红花镇党委、政府充分发挥党建引领作用，成立了腐竹加工合作社，形成规模化和标准化生产，让农户传统手工制作的腐竹畅销市场，让群众在家门口实现就业，带动群众增收致富。据报道，在骨干企业的辐射带动下，2023年红花镇的腐竹加工制作厂已经发展到67家，提供超200个就业岗位，年产腐竹80余万斤，年产值1440余万元，从业人员年收入增加1万元以上。红花腐竹产业逐步从“单打独斗”转变为“抱团发展”。</w:t>
      </w:r>
    </w:p>
    <w:p w14:paraId="512A8E65">
      <w:pPr>
        <w:autoSpaceDE w:val="0"/>
        <w:autoSpaceDN w:val="0"/>
        <w:adjustRightInd w:val="0"/>
        <w:spacing w:before="156" w:beforeLines="50" w:after="156" w:afterLines="50" w:line="560" w:lineRule="exact"/>
        <w:ind w:firstLine="640" w:firstLineChars="200"/>
        <w:rPr>
          <w:rFonts w:hint="eastAsia" w:ascii="仿宋_GB2312" w:hAnsi="宋体" w:eastAsia="仿宋_GB2312"/>
          <w:sz w:val="32"/>
          <w:szCs w:val="28"/>
        </w:rPr>
      </w:pPr>
      <w:r>
        <w:rPr>
          <w:rFonts w:hint="eastAsia" w:ascii="仿宋_GB2312" w:hAnsi="宋体" w:eastAsia="仿宋_GB2312"/>
          <w:sz w:val="32"/>
          <w:szCs w:val="28"/>
        </w:rPr>
        <w:t>钟山红花腐竹在产业化发展中存在以下三个问题。一是钟山红花腐竹在消费者中仍缺乏品牌效应和影响力，公众对其价值没有深入了解。二是钟山红花腐竹受到制作工艺、饮食口味等因素影响，导致质量参差不齐、标准不一，从而影响到消费者对钟山红花腐竹的消费与认知，需要对其产品品质做出统一规范。三是当前钟山红花腐竹的生产加工企业普遍存在生产规模小，产品品质参差不齐等现象，制作技术过程没有明确的管理和执行方法，从而限制了钟山红花腐竹产业化的发展和品牌力的推广。为适应当前餐饮业及食品加工业快速发展的需要，亟需解决上述钟山红花腐竹生产制作和推广上的存在的问题，实现钟山红花腐竹产业高质量发展。</w:t>
      </w:r>
    </w:p>
    <w:p w14:paraId="7A493052">
      <w:pPr>
        <w:autoSpaceDE w:val="0"/>
        <w:autoSpaceDN w:val="0"/>
        <w:adjustRightInd w:val="0"/>
        <w:spacing w:before="156" w:beforeLines="50" w:after="156" w:afterLines="50" w:line="560" w:lineRule="exact"/>
        <w:ind w:firstLine="640" w:firstLineChars="200"/>
        <w:rPr>
          <w:rFonts w:ascii="仿宋_GB2312" w:hAnsi="宋体" w:eastAsia="仿宋_GB2312"/>
          <w:sz w:val="32"/>
          <w:szCs w:val="28"/>
          <w:highlight w:val="none"/>
        </w:rPr>
      </w:pPr>
      <w:r>
        <w:rPr>
          <w:rFonts w:hint="eastAsia" w:ascii="仿宋_GB2312" w:hAnsi="宋体" w:eastAsia="仿宋_GB2312"/>
          <w:sz w:val="32"/>
          <w:szCs w:val="28"/>
        </w:rPr>
        <w:t>通过制定团体标准《</w:t>
      </w:r>
      <w:r>
        <w:rPr>
          <w:rFonts w:hint="eastAsia" w:ascii="仿宋_GB2312" w:hAnsi="宋体" w:eastAsia="仿宋_GB2312"/>
          <w:sz w:val="32"/>
          <w:szCs w:val="28"/>
          <w:lang w:eastAsia="zh-CN"/>
        </w:rPr>
        <w:t>钟山红花腐竹</w:t>
      </w:r>
      <w:r>
        <w:rPr>
          <w:rFonts w:hint="eastAsia" w:ascii="仿宋_GB2312" w:hAnsi="宋体" w:eastAsia="仿宋_GB2312"/>
          <w:sz w:val="32"/>
          <w:szCs w:val="28"/>
        </w:rPr>
        <w:t>》，以标准为抓手，统一规范</w:t>
      </w:r>
      <w:r>
        <w:rPr>
          <w:rFonts w:hint="eastAsia" w:ascii="仿宋_GB2312" w:hAnsi="宋体" w:eastAsia="仿宋_GB2312"/>
          <w:sz w:val="32"/>
          <w:szCs w:val="28"/>
          <w:lang w:eastAsia="zh-CN"/>
        </w:rPr>
        <w:t>钟山红花腐竹</w:t>
      </w:r>
      <w:r>
        <w:rPr>
          <w:rFonts w:hint="eastAsia" w:ascii="仿宋_GB2312" w:hAnsi="宋体" w:eastAsia="仿宋_GB2312"/>
          <w:sz w:val="32"/>
          <w:szCs w:val="28"/>
        </w:rPr>
        <w:t>的</w:t>
      </w:r>
      <w:r>
        <w:rPr>
          <w:rFonts w:hint="eastAsia" w:ascii="仿宋_GB2312" w:hAnsi="宋体" w:eastAsia="仿宋_GB2312"/>
          <w:sz w:val="32"/>
          <w:szCs w:val="28"/>
          <w:lang w:val="en-US" w:eastAsia="zh-CN"/>
        </w:rPr>
        <w:t>感官和理化指标</w:t>
      </w:r>
      <w:r>
        <w:rPr>
          <w:rFonts w:hint="eastAsia" w:ascii="仿宋_GB2312" w:hAnsi="宋体" w:eastAsia="仿宋_GB2312"/>
          <w:sz w:val="32"/>
          <w:szCs w:val="28"/>
        </w:rPr>
        <w:t>要求，</w:t>
      </w:r>
      <w:r>
        <w:rPr>
          <w:rFonts w:hint="eastAsia" w:ascii="仿宋_GB2312" w:hAnsi="宋体" w:eastAsia="仿宋_GB2312"/>
          <w:sz w:val="32"/>
          <w:szCs w:val="28"/>
          <w:lang w:val="en-US" w:eastAsia="zh-CN"/>
        </w:rPr>
        <w:t>保障和提高钟山红花腐竹的产品质量。</w:t>
      </w:r>
      <w:r>
        <w:rPr>
          <w:rFonts w:hint="eastAsia" w:ascii="仿宋_GB2312" w:hAnsi="宋体" w:eastAsia="仿宋_GB2312"/>
          <w:sz w:val="32"/>
          <w:szCs w:val="28"/>
        </w:rPr>
        <w:t>对提升</w:t>
      </w:r>
      <w:r>
        <w:rPr>
          <w:rFonts w:hint="eastAsia" w:ascii="仿宋_GB2312" w:hAnsi="宋体" w:eastAsia="仿宋_GB2312"/>
          <w:sz w:val="32"/>
          <w:szCs w:val="28"/>
          <w:lang w:eastAsia="zh-CN"/>
        </w:rPr>
        <w:t>钟山红花腐竹</w:t>
      </w:r>
      <w:r>
        <w:rPr>
          <w:rFonts w:hint="eastAsia" w:ascii="仿宋_GB2312" w:hAnsi="宋体" w:eastAsia="仿宋_GB2312"/>
          <w:sz w:val="32"/>
          <w:szCs w:val="28"/>
        </w:rPr>
        <w:t>品牌效益，促进</w:t>
      </w:r>
      <w:r>
        <w:rPr>
          <w:rFonts w:hint="eastAsia" w:ascii="仿宋_GB2312" w:hAnsi="宋体" w:eastAsia="仿宋_GB2312"/>
          <w:sz w:val="32"/>
          <w:szCs w:val="28"/>
          <w:lang w:eastAsia="zh-CN"/>
        </w:rPr>
        <w:t>钟山红花腐竹</w:t>
      </w:r>
      <w:r>
        <w:rPr>
          <w:rFonts w:hint="eastAsia" w:ascii="仿宋_GB2312" w:hAnsi="宋体" w:eastAsia="仿宋_GB2312"/>
          <w:sz w:val="32"/>
          <w:szCs w:val="28"/>
        </w:rPr>
        <w:t>产业化、市场化、效益</w:t>
      </w:r>
      <w:r>
        <w:rPr>
          <w:rFonts w:hint="eastAsia" w:ascii="仿宋_GB2312" w:hAnsi="宋体" w:eastAsia="仿宋_GB2312"/>
          <w:sz w:val="32"/>
          <w:szCs w:val="28"/>
          <w:highlight w:val="none"/>
        </w:rPr>
        <w:t>化，助推</w:t>
      </w:r>
      <w:r>
        <w:rPr>
          <w:rFonts w:hint="eastAsia" w:ascii="仿宋_GB2312" w:hAnsi="宋体" w:eastAsia="仿宋_GB2312"/>
          <w:sz w:val="32"/>
          <w:szCs w:val="28"/>
          <w:highlight w:val="none"/>
          <w:lang w:eastAsia="zh-CN"/>
        </w:rPr>
        <w:t>钟山红花腐竹</w:t>
      </w:r>
      <w:r>
        <w:rPr>
          <w:rFonts w:hint="eastAsia" w:ascii="仿宋_GB2312" w:hAnsi="宋体" w:eastAsia="仿宋_GB2312"/>
          <w:sz w:val="32"/>
          <w:szCs w:val="28"/>
          <w:highlight w:val="none"/>
        </w:rPr>
        <w:t>产业高质量发展有重要意义。</w:t>
      </w:r>
    </w:p>
    <w:p w14:paraId="64CFA7EF">
      <w:pPr>
        <w:autoSpaceDE w:val="0"/>
        <w:autoSpaceDN w:val="0"/>
        <w:adjustRightInd w:val="0"/>
        <w:spacing w:before="156" w:beforeLines="50" w:after="156" w:afterLines="50" w:line="560" w:lineRule="exact"/>
        <w:ind w:firstLine="640" w:firstLineChars="200"/>
        <w:jc w:val="left"/>
        <w:rPr>
          <w:rFonts w:ascii="黑体" w:hAnsi="黑体" w:eastAsia="黑体" w:cs="仿宋_GB2312"/>
          <w:sz w:val="32"/>
          <w:szCs w:val="32"/>
          <w:highlight w:val="none"/>
        </w:rPr>
      </w:pPr>
      <w:r>
        <w:rPr>
          <w:rFonts w:hint="eastAsia" w:ascii="黑体" w:hAnsi="黑体" w:eastAsia="黑体" w:cs="仿宋_GB2312"/>
          <w:sz w:val="32"/>
          <w:szCs w:val="32"/>
          <w:highlight w:val="none"/>
        </w:rPr>
        <w:t>三、主要起草过程</w:t>
      </w:r>
    </w:p>
    <w:p w14:paraId="0D6A5644">
      <w:pPr>
        <w:spacing w:before="156" w:beforeLines="50" w:after="156" w:afterLines="50" w:line="560" w:lineRule="exact"/>
        <w:ind w:firstLine="643" w:firstLineChars="200"/>
        <w:rPr>
          <w:rFonts w:ascii="楷体" w:hAnsi="楷体" w:eastAsia="楷体"/>
          <w:sz w:val="32"/>
          <w:szCs w:val="28"/>
          <w:highlight w:val="none"/>
        </w:rPr>
      </w:pPr>
      <w:r>
        <w:rPr>
          <w:rFonts w:hint="eastAsia" w:ascii="楷体" w:hAnsi="楷体" w:eastAsia="楷体" w:cs="仿宋_GB2312"/>
          <w:b/>
          <w:sz w:val="32"/>
          <w:szCs w:val="28"/>
          <w:highlight w:val="none"/>
        </w:rPr>
        <w:t>（一）成立标准编制工作组</w:t>
      </w:r>
    </w:p>
    <w:p w14:paraId="437C2B65">
      <w:pPr>
        <w:ind w:firstLine="640" w:firstLineChars="200"/>
        <w:rPr>
          <w:rFonts w:ascii="仿宋_GB2312" w:hAnsi="宋体" w:eastAsia="仿宋_GB2312"/>
          <w:sz w:val="32"/>
          <w:szCs w:val="28"/>
        </w:rPr>
      </w:pPr>
      <w:r>
        <w:rPr>
          <w:rFonts w:hint="eastAsia" w:ascii="仿宋_GB2312" w:hAnsi="宋体" w:eastAsia="仿宋_GB2312"/>
          <w:sz w:val="32"/>
          <w:szCs w:val="28"/>
          <w:highlight w:val="none"/>
        </w:rPr>
        <w:t>团体标准《</w:t>
      </w:r>
      <w:r>
        <w:rPr>
          <w:rFonts w:hint="eastAsia" w:ascii="仿宋_GB2312" w:hAnsi="宋体" w:eastAsia="仿宋_GB2312"/>
          <w:sz w:val="32"/>
          <w:szCs w:val="28"/>
          <w:highlight w:val="none"/>
          <w:lang w:eastAsia="zh-CN"/>
        </w:rPr>
        <w:t>钟山红花腐竹</w:t>
      </w:r>
      <w:r>
        <w:rPr>
          <w:rFonts w:hint="eastAsia" w:ascii="仿宋_GB2312" w:hAnsi="宋体" w:eastAsia="仿宋_GB2312"/>
          <w:sz w:val="32"/>
          <w:szCs w:val="28"/>
          <w:highlight w:val="none"/>
        </w:rPr>
        <w:t>》项目任务下达后，钟山县市场监督管理局成立了标</w:t>
      </w:r>
      <w:r>
        <w:rPr>
          <w:rFonts w:hint="eastAsia" w:ascii="仿宋_GB2312" w:hAnsi="宋体" w:eastAsia="仿宋_GB2312"/>
          <w:sz w:val="32"/>
          <w:szCs w:val="28"/>
        </w:rPr>
        <w:t>准编制工作组，起草单位制定了起草编写方案与进度安排，明确任务职责，确定工作技术路线，开展标准研制工作。具体标准编</w:t>
      </w:r>
      <w:r>
        <w:rPr>
          <w:rFonts w:hint="eastAsia" w:ascii="仿宋_GB2312" w:hAnsi="宋体" w:eastAsia="仿宋_GB2312"/>
          <w:sz w:val="32"/>
          <w:szCs w:val="28"/>
          <w:highlight w:val="none"/>
        </w:rPr>
        <w:t>制工作由钟山县市场监督管理局、广西壮族自治区亚热带作物研究所、钟山县农业农村局、钟山县检验检测中心、钟山县红花镇农业服务中心、钟山县文化广电和旅游局、钟山县丰源农产品加工厂、广西中盈生态农业科技有限公司等</w:t>
      </w:r>
      <w:r>
        <w:rPr>
          <w:rFonts w:hint="eastAsia" w:ascii="仿宋_GB2312" w:hAnsi="宋体" w:eastAsia="仿宋_GB2312"/>
          <w:sz w:val="32"/>
          <w:szCs w:val="28"/>
        </w:rPr>
        <w:t>单位负责人组成的标准编制工作组完成。</w:t>
      </w:r>
    </w:p>
    <w:p w14:paraId="0D99A07B">
      <w:pPr>
        <w:ind w:firstLine="640" w:firstLineChars="200"/>
        <w:rPr>
          <w:rFonts w:ascii="仿宋_GB2312" w:hAnsi="宋体" w:eastAsia="仿宋_GB2312"/>
          <w:sz w:val="32"/>
          <w:szCs w:val="28"/>
        </w:rPr>
      </w:pPr>
      <w:r>
        <w:rPr>
          <w:rFonts w:hint="eastAsia" w:ascii="仿宋_GB2312" w:hAnsi="宋体" w:eastAsia="仿宋_GB2312"/>
          <w:sz w:val="32"/>
          <w:szCs w:val="28"/>
        </w:rPr>
        <w:t>编制工作组下设三个组，分别是资料收集组、草案编写组、标准实施组。</w:t>
      </w:r>
    </w:p>
    <w:p w14:paraId="59AE398B">
      <w:pPr>
        <w:ind w:firstLine="640" w:firstLineChars="200"/>
        <w:rPr>
          <w:rFonts w:ascii="仿宋_GB2312" w:hAnsi="宋体" w:eastAsia="仿宋_GB2312"/>
          <w:sz w:val="32"/>
          <w:szCs w:val="28"/>
        </w:rPr>
      </w:pPr>
      <w:r>
        <w:rPr>
          <w:rFonts w:hint="eastAsia" w:ascii="仿宋_GB2312" w:hAnsi="宋体" w:eastAsia="仿宋_GB2312"/>
          <w:sz w:val="32"/>
          <w:szCs w:val="28"/>
        </w:rPr>
        <w:t>资料收集组负责国内外有关</w:t>
      </w:r>
      <w:r>
        <w:rPr>
          <w:rFonts w:hint="eastAsia" w:ascii="仿宋_GB2312" w:hAnsi="宋体" w:eastAsia="仿宋_GB2312"/>
          <w:sz w:val="32"/>
          <w:szCs w:val="28"/>
          <w:lang w:eastAsia="zh-CN"/>
        </w:rPr>
        <w:t>钟山红花腐竹</w:t>
      </w:r>
      <w:r>
        <w:rPr>
          <w:rFonts w:hint="eastAsia" w:ascii="仿宋_GB2312" w:hAnsi="宋体" w:eastAsia="仿宋_GB2312"/>
          <w:sz w:val="32"/>
          <w:szCs w:val="28"/>
        </w:rPr>
        <w:t>的文献资料的查询、收集和整理工作，查阅前人对</w:t>
      </w:r>
      <w:r>
        <w:rPr>
          <w:rFonts w:hint="eastAsia" w:ascii="仿宋_GB2312" w:hAnsi="宋体" w:eastAsia="仿宋_GB2312"/>
          <w:sz w:val="32"/>
          <w:szCs w:val="28"/>
          <w:lang w:eastAsia="zh-CN"/>
        </w:rPr>
        <w:t>钟山红花腐竹</w:t>
      </w:r>
      <w:r>
        <w:rPr>
          <w:rFonts w:hint="eastAsia" w:ascii="仿宋_GB2312" w:hAnsi="宋体" w:eastAsia="仿宋_GB2312"/>
          <w:sz w:val="32"/>
          <w:szCs w:val="28"/>
        </w:rPr>
        <w:t>的研究情况。</w:t>
      </w:r>
    </w:p>
    <w:p w14:paraId="0BE25F71">
      <w:pPr>
        <w:ind w:firstLine="640" w:firstLineChars="200"/>
        <w:rPr>
          <w:rFonts w:ascii="仿宋_GB2312" w:hAnsi="宋体" w:eastAsia="仿宋_GB2312"/>
          <w:sz w:val="32"/>
          <w:szCs w:val="28"/>
        </w:rPr>
      </w:pPr>
      <w:r>
        <w:rPr>
          <w:rFonts w:hint="eastAsia" w:ascii="仿宋_GB2312" w:hAnsi="宋体" w:eastAsia="仿宋_GB2312"/>
          <w:sz w:val="32"/>
          <w:szCs w:val="28"/>
        </w:rPr>
        <w:t>草案编写组负责起草标准草案、征求意见稿和标准编制说明、送审稿及编制说明的编写工作，包括后期召开征求意见会、网上征求意见，以及标准的不断修改和完善。</w:t>
      </w:r>
    </w:p>
    <w:p w14:paraId="067432A5">
      <w:pPr>
        <w:ind w:firstLine="640" w:firstLineChars="200"/>
        <w:rPr>
          <w:rFonts w:ascii="仿宋_GB2312" w:hAnsi="宋体" w:eastAsia="仿宋_GB2312"/>
          <w:sz w:val="32"/>
          <w:szCs w:val="28"/>
        </w:rPr>
      </w:pPr>
      <w:r>
        <w:rPr>
          <w:rFonts w:hint="eastAsia" w:ascii="仿宋_GB2312" w:hAnsi="宋体" w:eastAsia="仿宋_GB2312"/>
          <w:sz w:val="32"/>
          <w:szCs w:val="28"/>
        </w:rPr>
        <w:t>标准实施组负责团体标准《</w:t>
      </w:r>
      <w:r>
        <w:rPr>
          <w:rFonts w:hint="eastAsia" w:ascii="仿宋_GB2312" w:hAnsi="宋体" w:eastAsia="仿宋_GB2312"/>
          <w:sz w:val="32"/>
          <w:szCs w:val="28"/>
          <w:lang w:eastAsia="zh-CN"/>
        </w:rPr>
        <w:t>钟山红花腐竹</w:t>
      </w:r>
      <w:r>
        <w:rPr>
          <w:rFonts w:hint="eastAsia" w:ascii="仿宋_GB2312" w:hAnsi="宋体" w:eastAsia="仿宋_GB2312"/>
          <w:sz w:val="32"/>
          <w:szCs w:val="28"/>
        </w:rPr>
        <w:t>》发布后，组织相关企事业单位开展标准宣贯培训会，对标准进行详细解读，让相关人员了解标准，并根据标准对</w:t>
      </w:r>
      <w:r>
        <w:rPr>
          <w:rFonts w:hint="eastAsia" w:ascii="仿宋_GB2312" w:hAnsi="宋体" w:eastAsia="仿宋_GB2312"/>
          <w:sz w:val="32"/>
          <w:szCs w:val="28"/>
          <w:lang w:eastAsia="zh-CN"/>
        </w:rPr>
        <w:t>钟山红花腐竹</w:t>
      </w:r>
      <w:r>
        <w:rPr>
          <w:rFonts w:hint="eastAsia" w:ascii="仿宋_GB2312" w:hAnsi="宋体" w:eastAsia="仿宋_GB2312"/>
          <w:sz w:val="32"/>
          <w:szCs w:val="28"/>
        </w:rPr>
        <w:t>进行规范化操作，并对标准实施情况进行总结分析，不断对团体标准提出修正意见。</w:t>
      </w:r>
    </w:p>
    <w:p w14:paraId="32C78715">
      <w:pPr>
        <w:spacing w:before="156" w:beforeLines="50" w:after="156" w:afterLines="50" w:line="560" w:lineRule="exact"/>
        <w:ind w:firstLine="643" w:firstLineChars="200"/>
        <w:rPr>
          <w:rFonts w:ascii="楷体" w:hAnsi="楷体" w:eastAsia="楷体" w:cs="仿宋_GB2312"/>
          <w:b/>
          <w:sz w:val="32"/>
          <w:szCs w:val="28"/>
        </w:rPr>
      </w:pPr>
      <w:r>
        <w:rPr>
          <w:rFonts w:hint="eastAsia" w:ascii="楷体" w:hAnsi="楷体" w:eastAsia="楷体" w:cs="仿宋_GB2312"/>
          <w:b/>
          <w:sz w:val="32"/>
          <w:szCs w:val="28"/>
        </w:rPr>
        <w:t>（二）收集整理文献资料</w:t>
      </w:r>
    </w:p>
    <w:p w14:paraId="2B9611BD">
      <w:pPr>
        <w:ind w:firstLine="640" w:firstLineChars="200"/>
        <w:rPr>
          <w:rFonts w:ascii="仿宋_GB2312" w:hAnsi="宋体" w:eastAsia="仿宋_GB2312"/>
          <w:sz w:val="32"/>
          <w:szCs w:val="28"/>
          <w:lang w:val="fr-FR"/>
        </w:rPr>
      </w:pPr>
      <w:r>
        <w:rPr>
          <w:rFonts w:hint="eastAsia" w:ascii="仿宋_GB2312" w:hAnsi="宋体" w:eastAsia="仿宋_GB2312"/>
          <w:sz w:val="32"/>
          <w:szCs w:val="28"/>
        </w:rPr>
        <w:t>标准编制工作组收集了国内有关</w:t>
      </w:r>
      <w:r>
        <w:rPr>
          <w:rFonts w:hint="eastAsia" w:ascii="仿宋_GB2312" w:hAnsi="宋体" w:eastAsia="仿宋_GB2312"/>
          <w:sz w:val="32"/>
          <w:szCs w:val="28"/>
          <w:lang w:val="en-US" w:eastAsia="zh-CN"/>
        </w:rPr>
        <w:t>腐竹</w:t>
      </w:r>
      <w:r>
        <w:rPr>
          <w:rFonts w:hint="eastAsia" w:ascii="仿宋_GB2312" w:hAnsi="宋体" w:eastAsia="仿宋_GB2312"/>
          <w:sz w:val="32"/>
          <w:szCs w:val="28"/>
        </w:rPr>
        <w:t>相关文献资料。主要有</w:t>
      </w:r>
      <w:r>
        <w:rPr>
          <w:rFonts w:hint="eastAsia" w:ascii="仿宋_GB2312" w:hAnsi="宋体" w:eastAsia="仿宋_GB2312"/>
          <w:sz w:val="32"/>
          <w:szCs w:val="28"/>
          <w:lang w:val="fr-FR"/>
        </w:rPr>
        <w:t>：</w:t>
      </w:r>
    </w:p>
    <w:p w14:paraId="736F5526">
      <w:pPr>
        <w:spacing w:before="156" w:beforeLines="50" w:after="156" w:afterLines="50" w:line="560" w:lineRule="exact"/>
        <w:ind w:firstLine="640" w:firstLineChars="200"/>
        <w:rPr>
          <w:rFonts w:hint="eastAsia" w:ascii="仿宋_GB2312" w:hAnsi="宋体" w:eastAsia="仿宋_GB2312"/>
          <w:sz w:val="32"/>
          <w:szCs w:val="28"/>
          <w:lang w:eastAsia="zh-CN"/>
        </w:rPr>
      </w:pPr>
      <w:r>
        <w:rPr>
          <w:rFonts w:hint="eastAsia" w:ascii="仿宋_GB2312" w:hAnsi="宋体" w:eastAsia="仿宋_GB2312"/>
          <w:sz w:val="32"/>
          <w:szCs w:val="28"/>
          <w:lang w:eastAsia="zh-CN"/>
        </w:rPr>
        <w:t>GB</w:t>
      </w:r>
      <w:r>
        <w:rPr>
          <w:rFonts w:hint="eastAsia" w:ascii="仿宋_GB2312" w:hAnsi="宋体" w:eastAsia="仿宋_GB2312"/>
          <w:sz w:val="32"/>
          <w:szCs w:val="28"/>
          <w:lang w:val="en-US" w:eastAsia="zh-CN"/>
        </w:rPr>
        <w:t>/</w:t>
      </w:r>
      <w:r>
        <w:rPr>
          <w:rFonts w:hint="eastAsia" w:ascii="仿宋_GB2312" w:hAnsi="宋体" w:eastAsia="仿宋_GB2312"/>
          <w:sz w:val="32"/>
          <w:szCs w:val="28"/>
          <w:lang w:eastAsia="zh-CN"/>
        </w:rPr>
        <w:t>T 22106—2008《非发酵豆制品》</w:t>
      </w:r>
    </w:p>
    <w:p w14:paraId="3734FBA6">
      <w:pPr>
        <w:spacing w:before="156" w:beforeLines="50" w:after="156" w:afterLines="50" w:line="560" w:lineRule="exact"/>
        <w:ind w:firstLine="640" w:firstLineChars="200"/>
        <w:rPr>
          <w:rFonts w:hint="eastAsia" w:ascii="仿宋_GB2312" w:hAnsi="宋体" w:eastAsia="仿宋_GB2312"/>
          <w:sz w:val="32"/>
          <w:szCs w:val="28"/>
          <w:lang w:eastAsia="zh-CN"/>
        </w:rPr>
      </w:pPr>
      <w:r>
        <w:rPr>
          <w:rFonts w:hint="eastAsia" w:ascii="仿宋_GB2312" w:hAnsi="宋体" w:eastAsia="仿宋_GB2312"/>
          <w:sz w:val="32"/>
          <w:szCs w:val="28"/>
          <w:lang w:eastAsia="zh-CN"/>
        </w:rPr>
        <w:t>DB4453/T 01—2023《地理标志产品  托洞腐竹》</w:t>
      </w:r>
    </w:p>
    <w:p w14:paraId="53A43815">
      <w:pPr>
        <w:spacing w:before="156" w:beforeLines="50" w:after="156" w:afterLines="50" w:line="560" w:lineRule="exact"/>
        <w:ind w:firstLine="640" w:firstLineChars="200"/>
        <w:rPr>
          <w:rFonts w:hint="eastAsia" w:ascii="仿宋_GB2312" w:hAnsi="宋体" w:eastAsia="仿宋_GB2312"/>
          <w:sz w:val="32"/>
          <w:szCs w:val="28"/>
          <w:lang w:eastAsia="zh-CN"/>
        </w:rPr>
      </w:pPr>
      <w:r>
        <w:rPr>
          <w:rFonts w:hint="eastAsia" w:ascii="仿宋_GB2312" w:hAnsi="宋体" w:eastAsia="仿宋_GB2312"/>
          <w:sz w:val="32"/>
          <w:szCs w:val="28"/>
          <w:lang w:eastAsia="zh-CN"/>
        </w:rPr>
        <w:t>DB41/T 649—2017《地理标志产品  许昌腐竹》</w:t>
      </w:r>
    </w:p>
    <w:p w14:paraId="55EE9C4C">
      <w:pPr>
        <w:spacing w:before="156" w:beforeLines="50" w:after="156" w:afterLines="50" w:line="560" w:lineRule="exact"/>
        <w:ind w:firstLine="640" w:firstLineChars="200"/>
        <w:rPr>
          <w:rFonts w:hint="eastAsia" w:ascii="仿宋_GB2312" w:hAnsi="宋体" w:eastAsia="仿宋_GB2312"/>
          <w:sz w:val="32"/>
          <w:szCs w:val="28"/>
          <w:lang w:eastAsia="zh-CN"/>
        </w:rPr>
      </w:pPr>
      <w:r>
        <w:rPr>
          <w:rFonts w:hint="eastAsia" w:ascii="仿宋_GB2312" w:hAnsi="宋体" w:eastAsia="仿宋_GB2312"/>
          <w:sz w:val="32"/>
          <w:szCs w:val="28"/>
          <w:lang w:eastAsia="zh-CN"/>
        </w:rPr>
        <w:t>T/GXAS 258—2021《地理标志产品  桂林腐竹》</w:t>
      </w:r>
    </w:p>
    <w:p w14:paraId="373342B9">
      <w:pPr>
        <w:spacing w:before="156" w:beforeLines="50" w:after="156" w:afterLines="50" w:line="560" w:lineRule="exact"/>
        <w:ind w:firstLine="640" w:firstLineChars="200"/>
        <w:rPr>
          <w:rFonts w:ascii="仿宋_GB2312" w:hAnsi="宋体" w:eastAsia="仿宋_GB2312"/>
          <w:sz w:val="32"/>
          <w:szCs w:val="28"/>
        </w:rPr>
      </w:pPr>
      <w:r>
        <w:rPr>
          <w:rFonts w:hint="eastAsia" w:ascii="仿宋_GB2312" w:hAnsi="宋体" w:eastAsia="仿宋_GB2312"/>
          <w:sz w:val="32"/>
          <w:szCs w:val="28"/>
          <w:lang w:eastAsia="zh-CN"/>
        </w:rPr>
        <w:t>T/GXAS 376—2022《社坡腐竹》等</w:t>
      </w:r>
      <w:r>
        <w:rPr>
          <w:rFonts w:hint="eastAsia" w:ascii="仿宋_GB2312" w:hAnsi="宋体" w:eastAsia="仿宋_GB2312"/>
          <w:sz w:val="32"/>
          <w:szCs w:val="28"/>
        </w:rPr>
        <w:t>。</w:t>
      </w:r>
    </w:p>
    <w:p w14:paraId="44937C7D">
      <w:pPr>
        <w:spacing w:before="156" w:beforeLines="50" w:after="156" w:afterLines="50" w:line="560" w:lineRule="exact"/>
        <w:ind w:firstLine="643" w:firstLineChars="200"/>
        <w:rPr>
          <w:rFonts w:ascii="楷体" w:hAnsi="楷体" w:eastAsia="楷体" w:cs="仿宋_GB2312"/>
          <w:b/>
          <w:sz w:val="32"/>
          <w:szCs w:val="28"/>
        </w:rPr>
      </w:pPr>
      <w:r>
        <w:rPr>
          <w:rFonts w:hint="eastAsia" w:ascii="楷体" w:hAnsi="楷体" w:eastAsia="楷体" w:cs="仿宋_GB2312"/>
          <w:b/>
          <w:sz w:val="32"/>
          <w:szCs w:val="28"/>
        </w:rPr>
        <w:t>（三）研讨确定标准主体内容</w:t>
      </w:r>
    </w:p>
    <w:p w14:paraId="691B939C">
      <w:pPr>
        <w:ind w:firstLine="640" w:firstLineChars="200"/>
        <w:rPr>
          <w:rFonts w:ascii="仿宋_GB2312" w:hAnsi="宋体" w:eastAsia="仿宋_GB2312"/>
          <w:sz w:val="32"/>
          <w:szCs w:val="28"/>
        </w:rPr>
      </w:pPr>
      <w:r>
        <w:rPr>
          <w:rFonts w:hint="eastAsia" w:ascii="仿宋_GB2312" w:hAnsi="宋体" w:eastAsia="仿宋_GB2312"/>
          <w:sz w:val="32"/>
          <w:szCs w:val="28"/>
        </w:rPr>
        <w:t>标准编制工作组在对收集的资料进行整理研究之后，标准编制工作组召开了标准编制会议，对标准的整体框架结构进行了研究，并对标准的关</w:t>
      </w:r>
      <w:r>
        <w:rPr>
          <w:rFonts w:hint="eastAsia" w:ascii="仿宋_GB2312" w:hAnsi="宋体" w:eastAsia="仿宋_GB2312"/>
          <w:sz w:val="32"/>
          <w:szCs w:val="28"/>
          <w:highlight w:val="none"/>
        </w:rPr>
        <w:t>键性内容进行了初步探讨。经过研究，标准的主体内容确定为术语和定义、</w:t>
      </w:r>
      <w:r>
        <w:rPr>
          <w:rFonts w:hint="eastAsia" w:ascii="仿宋_GB2312" w:hAnsi="宋体" w:eastAsia="仿宋_GB2312"/>
          <w:sz w:val="32"/>
          <w:szCs w:val="28"/>
          <w:highlight w:val="none"/>
          <w:lang w:val="en-US" w:eastAsia="zh-CN"/>
        </w:rPr>
        <w:t>感官要求</w:t>
      </w:r>
      <w:r>
        <w:rPr>
          <w:rFonts w:hint="eastAsia" w:ascii="仿宋_GB2312" w:hAnsi="宋体" w:eastAsia="仿宋_GB2312"/>
          <w:sz w:val="32"/>
          <w:szCs w:val="28"/>
          <w:highlight w:val="none"/>
        </w:rPr>
        <w:t>、</w:t>
      </w:r>
      <w:r>
        <w:rPr>
          <w:rFonts w:hint="eastAsia" w:ascii="仿宋_GB2312" w:hAnsi="宋体" w:eastAsia="仿宋_GB2312"/>
          <w:sz w:val="32"/>
          <w:szCs w:val="28"/>
          <w:highlight w:val="none"/>
          <w:lang w:val="en-US" w:eastAsia="zh-CN"/>
        </w:rPr>
        <w:t>理化指标</w:t>
      </w:r>
      <w:r>
        <w:rPr>
          <w:rFonts w:hint="eastAsia" w:ascii="仿宋_GB2312" w:hAnsi="宋体" w:eastAsia="仿宋_GB2312"/>
          <w:sz w:val="32"/>
          <w:szCs w:val="28"/>
          <w:highlight w:val="none"/>
        </w:rPr>
        <w:t>、试验方法</w:t>
      </w:r>
      <w:r>
        <w:rPr>
          <w:rFonts w:hint="eastAsia" w:ascii="仿宋_GB2312" w:hAnsi="宋体" w:eastAsia="仿宋_GB2312"/>
          <w:sz w:val="32"/>
          <w:szCs w:val="28"/>
          <w:highlight w:val="none"/>
          <w:lang w:eastAsia="zh-CN"/>
        </w:rPr>
        <w:t>、</w:t>
      </w:r>
      <w:r>
        <w:rPr>
          <w:rFonts w:hint="eastAsia" w:ascii="仿宋_GB2312" w:hAnsi="宋体" w:eastAsia="仿宋_GB2312"/>
          <w:sz w:val="32"/>
          <w:szCs w:val="28"/>
          <w:highlight w:val="none"/>
        </w:rPr>
        <w:t>检验规则</w:t>
      </w:r>
      <w:r>
        <w:rPr>
          <w:rFonts w:hint="eastAsia" w:ascii="仿宋_GB2312" w:hAnsi="宋体" w:eastAsia="仿宋_GB2312"/>
          <w:sz w:val="32"/>
          <w:szCs w:val="28"/>
          <w:highlight w:val="none"/>
          <w:lang w:eastAsia="zh-CN"/>
        </w:rPr>
        <w:t>、标签、标志、包装、运输、贮存和保质期</w:t>
      </w:r>
      <w:r>
        <w:rPr>
          <w:rFonts w:hint="eastAsia" w:ascii="仿宋_GB2312" w:hAnsi="宋体" w:eastAsia="仿宋_GB2312"/>
          <w:sz w:val="32"/>
          <w:szCs w:val="28"/>
        </w:rPr>
        <w:t>。</w:t>
      </w:r>
    </w:p>
    <w:p w14:paraId="61FABD75">
      <w:pPr>
        <w:spacing w:before="156" w:beforeLines="50" w:after="156" w:afterLines="50" w:line="560" w:lineRule="exact"/>
        <w:ind w:firstLine="643" w:firstLineChars="200"/>
        <w:rPr>
          <w:rFonts w:ascii="楷体" w:hAnsi="楷体" w:eastAsia="楷体" w:cs="仿宋_GB2312"/>
          <w:b/>
          <w:sz w:val="32"/>
          <w:szCs w:val="28"/>
        </w:rPr>
      </w:pPr>
      <w:r>
        <w:rPr>
          <w:rFonts w:hint="eastAsia" w:ascii="楷体" w:hAnsi="楷体" w:eastAsia="楷体" w:cs="仿宋_GB2312"/>
          <w:b/>
          <w:sz w:val="32"/>
          <w:szCs w:val="28"/>
        </w:rPr>
        <w:t>（四）调研及形成草案、征求意见稿</w:t>
      </w:r>
    </w:p>
    <w:p w14:paraId="6B432005">
      <w:pPr>
        <w:ind w:firstLine="640" w:firstLineChars="200"/>
        <w:rPr>
          <w:rFonts w:ascii="仿宋_GB2312" w:hAnsi="宋体" w:eastAsia="仿宋_GB2312"/>
          <w:sz w:val="32"/>
          <w:szCs w:val="28"/>
        </w:rPr>
      </w:pPr>
      <w:r>
        <w:rPr>
          <w:rFonts w:hint="eastAsia" w:ascii="仿宋_GB2312" w:hAnsi="宋体" w:eastAsia="仿宋_GB2312"/>
          <w:sz w:val="32"/>
          <w:szCs w:val="28"/>
        </w:rPr>
        <w:t>2023年12月～2024年1月，标准起草工作小组进行了广泛调研工作，查阅了大量的国内外文献资料，对</w:t>
      </w:r>
      <w:r>
        <w:rPr>
          <w:rFonts w:hint="eastAsia" w:ascii="仿宋_GB2312" w:hAnsi="宋体" w:eastAsia="仿宋_GB2312"/>
          <w:sz w:val="32"/>
          <w:szCs w:val="28"/>
          <w:lang w:eastAsia="zh-CN"/>
        </w:rPr>
        <w:t>钟山红花腐竹</w:t>
      </w:r>
      <w:r>
        <w:rPr>
          <w:rFonts w:hint="eastAsia" w:ascii="仿宋_GB2312" w:hAnsi="宋体" w:eastAsia="仿宋_GB2312"/>
          <w:sz w:val="32"/>
          <w:szCs w:val="28"/>
        </w:rPr>
        <w:t>的前人研究成果进行系统总结。形成了标准的基本构架，对主要内容进行了讨论并对项目的工作进行了部署和安排。</w:t>
      </w:r>
    </w:p>
    <w:p w14:paraId="09305CF3">
      <w:pPr>
        <w:ind w:firstLine="640" w:firstLineChars="200"/>
        <w:rPr>
          <w:rFonts w:ascii="仿宋_GB2312" w:hAnsi="宋体" w:eastAsia="仿宋_GB2312"/>
          <w:sz w:val="32"/>
          <w:szCs w:val="28"/>
        </w:rPr>
      </w:pPr>
      <w:r>
        <w:rPr>
          <w:rFonts w:hint="eastAsia" w:ascii="仿宋_GB2312" w:hAnsi="宋体" w:eastAsia="仿宋_GB2312"/>
          <w:sz w:val="32"/>
          <w:szCs w:val="28"/>
        </w:rPr>
        <w:t>2024年</w:t>
      </w:r>
      <w:r>
        <w:rPr>
          <w:rFonts w:hint="eastAsia" w:ascii="仿宋_GB2312" w:hAnsi="宋体" w:eastAsia="仿宋_GB2312"/>
          <w:sz w:val="32"/>
          <w:szCs w:val="28"/>
          <w:lang w:val="en-US" w:eastAsia="zh-CN"/>
        </w:rPr>
        <w:t>2</w:t>
      </w:r>
      <w:r>
        <w:rPr>
          <w:rFonts w:hint="eastAsia" w:ascii="仿宋_GB2312" w:hAnsi="宋体" w:eastAsia="仿宋_GB2312"/>
          <w:sz w:val="32"/>
          <w:szCs w:val="28"/>
        </w:rPr>
        <w:t>月，在前期工作的基础之上，通过理清逻辑脉络，整合已有的参考资料中有关</w:t>
      </w:r>
      <w:r>
        <w:rPr>
          <w:rFonts w:hint="eastAsia" w:ascii="仿宋_GB2312" w:hAnsi="宋体" w:eastAsia="仿宋_GB2312"/>
          <w:sz w:val="32"/>
          <w:szCs w:val="28"/>
          <w:lang w:eastAsia="zh-CN"/>
        </w:rPr>
        <w:t>钟山红花腐竹</w:t>
      </w:r>
      <w:r>
        <w:rPr>
          <w:rFonts w:hint="eastAsia" w:ascii="仿宋_GB2312" w:hAnsi="宋体" w:eastAsia="仿宋_GB2312"/>
          <w:sz w:val="32"/>
          <w:szCs w:val="28"/>
        </w:rPr>
        <w:t>要求，并结合</w:t>
      </w:r>
      <w:r>
        <w:rPr>
          <w:rFonts w:hint="eastAsia" w:ascii="仿宋_GB2312" w:hAnsi="宋体" w:eastAsia="仿宋_GB2312"/>
          <w:sz w:val="32"/>
          <w:szCs w:val="28"/>
          <w:lang w:eastAsia="zh-CN"/>
        </w:rPr>
        <w:t>钟山红花腐竹</w:t>
      </w:r>
      <w:r>
        <w:rPr>
          <w:rFonts w:hint="eastAsia" w:ascii="仿宋_GB2312" w:hAnsi="宋体" w:eastAsia="仿宋_GB2312"/>
          <w:sz w:val="32"/>
          <w:szCs w:val="28"/>
        </w:rPr>
        <w:t>实际要求的基础上，按照简化、统一等原则编制完成团体标准《</w:t>
      </w:r>
      <w:r>
        <w:rPr>
          <w:rFonts w:hint="eastAsia" w:ascii="仿宋_GB2312" w:hAnsi="宋体" w:eastAsia="仿宋_GB2312"/>
          <w:sz w:val="32"/>
          <w:szCs w:val="28"/>
          <w:lang w:eastAsia="zh-CN"/>
        </w:rPr>
        <w:t>钟山红花腐竹</w:t>
      </w:r>
      <w:r>
        <w:rPr>
          <w:rFonts w:hint="eastAsia" w:ascii="仿宋_GB2312" w:hAnsi="宋体" w:eastAsia="仿宋_GB2312"/>
          <w:sz w:val="32"/>
          <w:szCs w:val="28"/>
        </w:rPr>
        <w:t>》（草案）。</w:t>
      </w:r>
    </w:p>
    <w:p w14:paraId="1F6A96F1">
      <w:pPr>
        <w:ind w:firstLine="640" w:firstLineChars="200"/>
        <w:rPr>
          <w:rFonts w:ascii="仿宋_GB2312" w:hAnsi="宋体" w:eastAsia="仿宋_GB2312"/>
          <w:sz w:val="32"/>
          <w:szCs w:val="28"/>
        </w:rPr>
      </w:pPr>
      <w:r>
        <w:rPr>
          <w:rFonts w:hint="eastAsia" w:ascii="仿宋_GB2312" w:hAnsi="宋体" w:eastAsia="仿宋_GB2312"/>
          <w:sz w:val="32"/>
          <w:szCs w:val="28"/>
        </w:rPr>
        <w:t>2024年3月～2024年</w:t>
      </w:r>
      <w:r>
        <w:rPr>
          <w:rFonts w:hint="eastAsia" w:ascii="仿宋_GB2312" w:hAnsi="宋体" w:eastAsia="仿宋_GB2312"/>
          <w:sz w:val="32"/>
          <w:szCs w:val="28"/>
          <w:lang w:val="en-US" w:eastAsia="zh-CN"/>
        </w:rPr>
        <w:t>10</w:t>
      </w:r>
      <w:r>
        <w:rPr>
          <w:rFonts w:hint="eastAsia" w:ascii="仿宋_GB2312" w:hAnsi="宋体" w:eastAsia="仿宋_GB2312"/>
          <w:sz w:val="32"/>
          <w:szCs w:val="28"/>
        </w:rPr>
        <w:t>月，标准起草工作组</w:t>
      </w:r>
      <w:r>
        <w:rPr>
          <w:rFonts w:hint="eastAsia" w:ascii="仿宋_GB2312" w:hAnsi="宋体" w:eastAsia="仿宋_GB2312"/>
          <w:sz w:val="32"/>
          <w:szCs w:val="28"/>
          <w:lang w:val="en-US" w:eastAsia="zh-CN"/>
        </w:rPr>
        <w:t>根据前期收集的资料和草案拟定送检方案并实际抽样检验，分析检验数据，初步拟定相关指标并</w:t>
      </w:r>
      <w:r>
        <w:rPr>
          <w:rFonts w:hint="eastAsia" w:ascii="仿宋_GB2312" w:hAnsi="宋体" w:eastAsia="仿宋_GB2312"/>
          <w:sz w:val="32"/>
          <w:szCs w:val="28"/>
        </w:rPr>
        <w:t>到</w:t>
      </w:r>
      <w:r>
        <w:rPr>
          <w:rFonts w:hint="eastAsia" w:ascii="仿宋_GB2312" w:hAnsi="宋体" w:eastAsia="仿宋_GB2312"/>
          <w:sz w:val="32"/>
          <w:szCs w:val="28"/>
          <w:lang w:val="en-US" w:eastAsia="zh-CN"/>
        </w:rPr>
        <w:t>红花镇腐竹生产</w:t>
      </w:r>
      <w:r>
        <w:rPr>
          <w:rFonts w:hint="eastAsia" w:ascii="仿宋_GB2312" w:hAnsi="宋体" w:eastAsia="仿宋_GB2312"/>
          <w:sz w:val="32"/>
          <w:szCs w:val="28"/>
          <w:highlight w:val="none"/>
          <w:lang w:val="en-US" w:eastAsia="zh-CN"/>
        </w:rPr>
        <w:t>企业</w:t>
      </w:r>
      <w:r>
        <w:rPr>
          <w:rFonts w:ascii="仿宋_GB2312" w:hAnsi="宋体" w:eastAsia="仿宋_GB2312"/>
          <w:sz w:val="32"/>
          <w:szCs w:val="28"/>
          <w:highlight w:val="none"/>
        </w:rPr>
        <w:t>开</w:t>
      </w:r>
      <w:r>
        <w:rPr>
          <w:rFonts w:ascii="仿宋_GB2312" w:hAnsi="宋体" w:eastAsia="仿宋_GB2312"/>
          <w:sz w:val="32"/>
          <w:szCs w:val="28"/>
        </w:rPr>
        <w:t>展</w:t>
      </w:r>
      <w:r>
        <w:rPr>
          <w:rFonts w:hint="eastAsia" w:ascii="仿宋_GB2312" w:hAnsi="宋体" w:eastAsia="仿宋_GB2312"/>
          <w:sz w:val="32"/>
          <w:szCs w:val="28"/>
          <w:lang w:val="en-US" w:eastAsia="zh-CN"/>
        </w:rPr>
        <w:t>调查</w:t>
      </w:r>
      <w:r>
        <w:rPr>
          <w:rFonts w:ascii="仿宋_GB2312" w:hAnsi="宋体" w:eastAsia="仿宋_GB2312"/>
          <w:sz w:val="32"/>
          <w:szCs w:val="28"/>
        </w:rPr>
        <w:t>验证</w:t>
      </w:r>
      <w:r>
        <w:rPr>
          <w:rFonts w:hint="eastAsia" w:ascii="仿宋_GB2312" w:hAnsi="宋体" w:eastAsia="仿宋_GB2312"/>
          <w:sz w:val="32"/>
          <w:szCs w:val="28"/>
          <w:lang w:eastAsia="zh-CN"/>
        </w:rPr>
        <w:t>，</w:t>
      </w:r>
      <w:r>
        <w:rPr>
          <w:rFonts w:hint="eastAsia" w:ascii="仿宋_GB2312" w:hAnsi="宋体" w:eastAsia="仿宋_GB2312"/>
          <w:sz w:val="32"/>
          <w:szCs w:val="28"/>
          <w:lang w:val="en-US" w:eastAsia="zh-CN"/>
        </w:rPr>
        <w:t>召开座谈会并</w:t>
      </w:r>
      <w:r>
        <w:rPr>
          <w:rFonts w:hint="eastAsia" w:ascii="仿宋_GB2312" w:hAnsi="宋体" w:eastAsia="仿宋_GB2312"/>
          <w:sz w:val="32"/>
          <w:szCs w:val="28"/>
        </w:rPr>
        <w:t>实际征求意见，通过收集反馈了大量意见，标准编制工作组多次召开会议，对标准草案</w:t>
      </w:r>
      <w:r>
        <w:rPr>
          <w:rFonts w:hint="eastAsia" w:ascii="仿宋_GB2312" w:hAnsi="宋体" w:eastAsia="仿宋_GB2312"/>
          <w:sz w:val="32"/>
          <w:szCs w:val="28"/>
          <w:lang w:eastAsia="zh-CN"/>
        </w:rPr>
        <w:t>的</w:t>
      </w:r>
      <w:r>
        <w:rPr>
          <w:rFonts w:hint="eastAsia" w:ascii="仿宋_GB2312" w:hAnsi="宋体" w:eastAsia="仿宋_GB2312"/>
          <w:sz w:val="32"/>
          <w:szCs w:val="28"/>
          <w:lang w:val="en-US" w:eastAsia="zh-CN"/>
        </w:rPr>
        <w:t>各项指标</w:t>
      </w:r>
      <w:r>
        <w:rPr>
          <w:rFonts w:hint="eastAsia" w:ascii="仿宋_GB2312" w:hAnsi="宋体" w:eastAsia="仿宋_GB2312"/>
          <w:sz w:val="32"/>
          <w:szCs w:val="28"/>
        </w:rPr>
        <w:t>进行了反复修改和研究讨论。进一步讨论完善标准草案，形成团体标准《</w:t>
      </w:r>
      <w:r>
        <w:rPr>
          <w:rFonts w:hint="eastAsia" w:ascii="仿宋_GB2312" w:hAnsi="宋体" w:eastAsia="仿宋_GB2312"/>
          <w:sz w:val="32"/>
          <w:szCs w:val="28"/>
          <w:lang w:eastAsia="zh-CN"/>
        </w:rPr>
        <w:t>钟山红花腐竹</w:t>
      </w:r>
      <w:r>
        <w:rPr>
          <w:rFonts w:hint="eastAsia" w:ascii="仿宋_GB2312" w:hAnsi="宋体" w:eastAsia="仿宋_GB2312"/>
          <w:sz w:val="32"/>
          <w:szCs w:val="28"/>
        </w:rPr>
        <w:t>》（征求意见稿）和（征求意见稿）编制说明。</w:t>
      </w:r>
    </w:p>
    <w:p w14:paraId="3B832357">
      <w:pPr>
        <w:autoSpaceDE w:val="0"/>
        <w:autoSpaceDN w:val="0"/>
        <w:adjustRightInd w:val="0"/>
        <w:jc w:val="left"/>
        <w:rPr>
          <w:rFonts w:eastAsia="黑体"/>
          <w:bCs/>
          <w:sz w:val="32"/>
          <w:szCs w:val="32"/>
        </w:rPr>
      </w:pPr>
      <w:bookmarkStart w:id="0" w:name="_Toc526940083"/>
      <w:r>
        <w:rPr>
          <w:rFonts w:eastAsia="黑体"/>
          <w:bCs/>
          <w:sz w:val="32"/>
          <w:szCs w:val="32"/>
        </w:rPr>
        <w:t>四、</w:t>
      </w:r>
      <w:bookmarkEnd w:id="0"/>
      <w:r>
        <w:rPr>
          <w:rFonts w:eastAsia="黑体"/>
          <w:bCs/>
          <w:sz w:val="32"/>
          <w:szCs w:val="32"/>
        </w:rPr>
        <w:t>制定标准的原则和依据，与现行法律、法规的关系，与有关国家标准、行业标准的协调情况</w:t>
      </w:r>
    </w:p>
    <w:p w14:paraId="30EFA250">
      <w:pPr>
        <w:pStyle w:val="11"/>
        <w:spacing w:line="560" w:lineRule="exact"/>
        <w:ind w:firstLine="0" w:firstLineChars="0"/>
        <w:outlineLvl w:val="1"/>
        <w:rPr>
          <w:rFonts w:ascii="Times New Roman" w:eastAsia="仿宋"/>
          <w:b/>
          <w:bCs/>
          <w:sz w:val="32"/>
          <w:szCs w:val="32"/>
        </w:rPr>
      </w:pPr>
      <w:r>
        <w:rPr>
          <w:rFonts w:ascii="Times New Roman" w:eastAsia="仿宋"/>
          <w:b/>
          <w:bCs/>
          <w:sz w:val="32"/>
          <w:szCs w:val="32"/>
        </w:rPr>
        <w:t>（一）编制原则</w:t>
      </w:r>
    </w:p>
    <w:p w14:paraId="7432AB81">
      <w:pPr>
        <w:tabs>
          <w:tab w:val="center" w:pos="4201"/>
          <w:tab w:val="right" w:leader="dot" w:pos="9298"/>
        </w:tabs>
        <w:autoSpaceDE w:val="0"/>
        <w:autoSpaceDN w:val="0"/>
        <w:ind w:firstLine="643"/>
        <w:outlineLvl w:val="2"/>
        <w:rPr>
          <w:rFonts w:eastAsia="仿宋"/>
          <w:b/>
          <w:bCs/>
          <w:kern w:val="0"/>
          <w:sz w:val="32"/>
          <w:szCs w:val="32"/>
        </w:rPr>
      </w:pPr>
      <w:r>
        <w:rPr>
          <w:rFonts w:eastAsia="仿宋"/>
          <w:b/>
          <w:bCs/>
          <w:kern w:val="0"/>
          <w:sz w:val="32"/>
          <w:szCs w:val="32"/>
        </w:rPr>
        <w:t>1、实用性原则</w:t>
      </w:r>
    </w:p>
    <w:p w14:paraId="5128D4A5">
      <w:pPr>
        <w:ind w:firstLine="640" w:firstLineChars="200"/>
        <w:rPr>
          <w:rFonts w:hint="eastAsia" w:ascii="仿宋_GB2312" w:hAnsi="宋体" w:eastAsia="仿宋_GB2312"/>
          <w:sz w:val="32"/>
          <w:szCs w:val="28"/>
        </w:rPr>
      </w:pPr>
      <w:r>
        <w:rPr>
          <w:rFonts w:hint="eastAsia" w:ascii="仿宋_GB2312" w:hAnsi="宋体" w:eastAsia="仿宋_GB2312"/>
          <w:sz w:val="32"/>
          <w:szCs w:val="28"/>
        </w:rPr>
        <w:t>本文件是在充分收集相关资料和文献，分析</w:t>
      </w:r>
      <w:r>
        <w:rPr>
          <w:rFonts w:hint="eastAsia" w:ascii="仿宋_GB2312" w:hAnsi="宋体" w:eastAsia="仿宋_GB2312"/>
          <w:sz w:val="32"/>
          <w:szCs w:val="28"/>
          <w:lang w:eastAsia="zh-CN"/>
        </w:rPr>
        <w:t>钟山红花腐竹</w:t>
      </w:r>
      <w:r>
        <w:rPr>
          <w:rFonts w:hint="eastAsia" w:ascii="仿宋_GB2312" w:hAnsi="宋体" w:eastAsia="仿宋_GB2312"/>
          <w:sz w:val="32"/>
          <w:szCs w:val="28"/>
        </w:rPr>
        <w:t>当前现状，在现有相关</w:t>
      </w:r>
      <w:r>
        <w:rPr>
          <w:rFonts w:hint="eastAsia" w:ascii="仿宋_GB2312" w:hAnsi="宋体" w:eastAsia="仿宋_GB2312"/>
          <w:sz w:val="32"/>
          <w:szCs w:val="28"/>
          <w:lang w:eastAsia="zh-CN"/>
        </w:rPr>
        <w:t>钟山红花腐竹</w:t>
      </w:r>
      <w:r>
        <w:rPr>
          <w:rFonts w:hint="eastAsia" w:ascii="仿宋_GB2312" w:hAnsi="宋体" w:eastAsia="仿宋_GB2312"/>
          <w:sz w:val="32"/>
          <w:szCs w:val="28"/>
        </w:rPr>
        <w:t>要求的基础上，结合编制单位</w:t>
      </w:r>
      <w:r>
        <w:rPr>
          <w:rFonts w:ascii="仿宋_GB2312" w:hAnsi="宋体" w:eastAsia="仿宋_GB2312"/>
          <w:sz w:val="32"/>
          <w:szCs w:val="28"/>
        </w:rPr>
        <w:t>多年</w:t>
      </w:r>
      <w:r>
        <w:rPr>
          <w:rFonts w:hint="eastAsia" w:ascii="仿宋_GB2312" w:hAnsi="宋体" w:eastAsia="仿宋_GB2312"/>
          <w:sz w:val="32"/>
          <w:szCs w:val="28"/>
        </w:rPr>
        <w:t>相关经验而总结起草的，符合当前</w:t>
      </w:r>
      <w:r>
        <w:rPr>
          <w:rFonts w:hint="eastAsia" w:ascii="仿宋_GB2312" w:hAnsi="宋体" w:eastAsia="仿宋_GB2312"/>
          <w:sz w:val="32"/>
          <w:szCs w:val="28"/>
          <w:lang w:eastAsia="zh-CN"/>
        </w:rPr>
        <w:t>钟山红花腐竹</w:t>
      </w:r>
      <w:r>
        <w:rPr>
          <w:rFonts w:hint="eastAsia" w:ascii="仿宋_GB2312" w:hAnsi="宋体" w:eastAsia="仿宋_GB2312"/>
          <w:sz w:val="32"/>
          <w:szCs w:val="28"/>
        </w:rPr>
        <w:t>发展的方向，具有较强的实用性和可操作性。</w:t>
      </w:r>
    </w:p>
    <w:p w14:paraId="62EF7D35">
      <w:pPr>
        <w:tabs>
          <w:tab w:val="center" w:pos="4201"/>
          <w:tab w:val="right" w:leader="dot" w:pos="9298"/>
        </w:tabs>
        <w:autoSpaceDE w:val="0"/>
        <w:autoSpaceDN w:val="0"/>
        <w:ind w:firstLine="643"/>
        <w:outlineLvl w:val="2"/>
        <w:rPr>
          <w:rFonts w:eastAsia="仿宋"/>
          <w:b/>
          <w:bCs/>
          <w:kern w:val="0"/>
          <w:sz w:val="32"/>
          <w:szCs w:val="32"/>
        </w:rPr>
      </w:pPr>
      <w:r>
        <w:rPr>
          <w:rFonts w:hint="eastAsia" w:eastAsia="仿宋"/>
          <w:b/>
          <w:bCs/>
          <w:kern w:val="0"/>
          <w:sz w:val="32"/>
          <w:szCs w:val="32"/>
        </w:rPr>
        <w:t>2、协调性原则</w:t>
      </w:r>
    </w:p>
    <w:p w14:paraId="18A33837">
      <w:pPr>
        <w:ind w:firstLine="640" w:firstLineChars="200"/>
        <w:rPr>
          <w:rFonts w:ascii="仿宋_GB2312" w:hAnsi="宋体" w:eastAsia="仿宋_GB2312"/>
          <w:sz w:val="32"/>
          <w:szCs w:val="28"/>
        </w:rPr>
      </w:pPr>
      <w:r>
        <w:rPr>
          <w:rFonts w:hint="eastAsia" w:ascii="仿宋_GB2312" w:hAnsi="宋体" w:eastAsia="仿宋_GB2312"/>
          <w:sz w:val="32"/>
          <w:szCs w:val="28"/>
        </w:rPr>
        <w:t>本文件编写过程中注意了与</w:t>
      </w:r>
      <w:r>
        <w:rPr>
          <w:rFonts w:hint="eastAsia" w:ascii="仿宋_GB2312" w:hAnsi="宋体" w:eastAsia="仿宋_GB2312"/>
          <w:sz w:val="32"/>
          <w:szCs w:val="28"/>
          <w:lang w:eastAsia="zh-CN"/>
        </w:rPr>
        <w:t>钟山红花腐竹</w:t>
      </w:r>
      <w:r>
        <w:rPr>
          <w:rFonts w:hint="eastAsia" w:ascii="仿宋_GB2312" w:hAnsi="宋体" w:eastAsia="仿宋_GB2312"/>
          <w:sz w:val="32"/>
          <w:szCs w:val="28"/>
        </w:rPr>
        <w:t>相关法律法规的协调问题，在内容上与现行法律法规、标准协调一致。</w:t>
      </w:r>
    </w:p>
    <w:p w14:paraId="48B06747">
      <w:pPr>
        <w:tabs>
          <w:tab w:val="center" w:pos="4201"/>
          <w:tab w:val="right" w:leader="dot" w:pos="9298"/>
        </w:tabs>
        <w:autoSpaceDE w:val="0"/>
        <w:autoSpaceDN w:val="0"/>
        <w:ind w:firstLine="643"/>
        <w:outlineLvl w:val="2"/>
        <w:rPr>
          <w:rFonts w:eastAsia="仿宋"/>
          <w:b/>
          <w:bCs/>
          <w:kern w:val="0"/>
          <w:sz w:val="32"/>
          <w:szCs w:val="32"/>
        </w:rPr>
      </w:pPr>
      <w:r>
        <w:rPr>
          <w:rFonts w:hint="eastAsia" w:eastAsia="仿宋"/>
          <w:b/>
          <w:bCs/>
          <w:kern w:val="0"/>
          <w:sz w:val="32"/>
          <w:szCs w:val="32"/>
        </w:rPr>
        <w:t>3、规范性原则</w:t>
      </w:r>
    </w:p>
    <w:p w14:paraId="3276EBB5">
      <w:pPr>
        <w:ind w:firstLine="640" w:firstLineChars="200"/>
        <w:rPr>
          <w:rFonts w:ascii="仿宋_GB2312" w:hAnsi="宋体" w:eastAsia="仿宋_GB2312"/>
          <w:sz w:val="32"/>
          <w:szCs w:val="28"/>
        </w:rPr>
      </w:pPr>
      <w:r>
        <w:rPr>
          <w:rFonts w:hint="eastAsia" w:ascii="仿宋_GB2312" w:hAnsi="宋体" w:eastAsia="仿宋_GB2312"/>
          <w:sz w:val="32"/>
          <w:szCs w:val="28"/>
        </w:rPr>
        <w:t>本文件严格参照GB/T 1.1—2020《标准化工作导则  第1部分：标准化文件的结构和起草规则》编写本标准的内容，保证标准的编写质量。</w:t>
      </w:r>
    </w:p>
    <w:p w14:paraId="173D3B39">
      <w:pPr>
        <w:tabs>
          <w:tab w:val="center" w:pos="4201"/>
          <w:tab w:val="right" w:leader="dot" w:pos="9298"/>
        </w:tabs>
        <w:autoSpaceDE w:val="0"/>
        <w:autoSpaceDN w:val="0"/>
        <w:ind w:firstLine="643"/>
        <w:outlineLvl w:val="2"/>
        <w:rPr>
          <w:rFonts w:eastAsia="仿宋"/>
          <w:b/>
          <w:bCs/>
          <w:kern w:val="0"/>
          <w:sz w:val="32"/>
          <w:szCs w:val="32"/>
        </w:rPr>
      </w:pPr>
      <w:r>
        <w:rPr>
          <w:rFonts w:hint="eastAsia" w:eastAsia="仿宋"/>
          <w:b/>
          <w:bCs/>
          <w:kern w:val="0"/>
          <w:sz w:val="32"/>
          <w:szCs w:val="32"/>
        </w:rPr>
        <w:t>4、前瞻性原则</w:t>
      </w:r>
    </w:p>
    <w:p w14:paraId="2315C397">
      <w:pPr>
        <w:ind w:firstLine="640" w:firstLineChars="200"/>
        <w:rPr>
          <w:rFonts w:ascii="仿宋_GB2312" w:hAnsi="宋体" w:eastAsia="仿宋_GB2312"/>
          <w:sz w:val="32"/>
          <w:szCs w:val="28"/>
        </w:rPr>
      </w:pPr>
      <w:r>
        <w:rPr>
          <w:rFonts w:hint="eastAsia" w:ascii="仿宋_GB2312" w:hAnsi="宋体" w:eastAsia="仿宋_GB2312"/>
          <w:sz w:val="32"/>
          <w:szCs w:val="28"/>
        </w:rPr>
        <w:t>本文件在兼顾当前区内</w:t>
      </w:r>
      <w:r>
        <w:rPr>
          <w:rFonts w:hint="eastAsia" w:ascii="仿宋_GB2312" w:hAnsi="宋体" w:eastAsia="仿宋_GB2312"/>
          <w:sz w:val="32"/>
          <w:szCs w:val="28"/>
          <w:lang w:eastAsia="zh-CN"/>
        </w:rPr>
        <w:t>钟山红花腐竹</w:t>
      </w:r>
      <w:r>
        <w:rPr>
          <w:rFonts w:hint="eastAsia" w:ascii="仿宋_GB2312" w:hAnsi="宋体" w:eastAsia="仿宋_GB2312"/>
          <w:sz w:val="32"/>
          <w:szCs w:val="28"/>
        </w:rPr>
        <w:t>现实情况的同时，还考虑到了</w:t>
      </w:r>
      <w:r>
        <w:rPr>
          <w:rFonts w:hint="eastAsia" w:ascii="仿宋_GB2312" w:hAnsi="宋体" w:eastAsia="仿宋_GB2312"/>
          <w:sz w:val="32"/>
          <w:szCs w:val="28"/>
          <w:lang w:eastAsia="zh-CN"/>
        </w:rPr>
        <w:t>钟山红花腐竹</w:t>
      </w:r>
      <w:r>
        <w:rPr>
          <w:rFonts w:hint="eastAsia" w:ascii="仿宋_GB2312" w:hAnsi="宋体" w:eastAsia="仿宋_GB2312"/>
          <w:sz w:val="32"/>
          <w:szCs w:val="28"/>
        </w:rPr>
        <w:t>快速发展的趋势和需要，在标准中体现了个别特色性、前瞻性和先进性条款，作为对</w:t>
      </w:r>
      <w:r>
        <w:rPr>
          <w:rFonts w:hint="eastAsia" w:ascii="仿宋_GB2312" w:hAnsi="宋体" w:eastAsia="仿宋_GB2312"/>
          <w:sz w:val="32"/>
          <w:szCs w:val="28"/>
          <w:lang w:eastAsia="zh-CN"/>
        </w:rPr>
        <w:t>钟山红花腐竹</w:t>
      </w:r>
      <w:r>
        <w:rPr>
          <w:rFonts w:hint="eastAsia" w:ascii="仿宋_GB2312" w:hAnsi="宋体" w:eastAsia="仿宋_GB2312"/>
          <w:sz w:val="32"/>
          <w:szCs w:val="28"/>
        </w:rPr>
        <w:t>发展的指导。</w:t>
      </w:r>
    </w:p>
    <w:p w14:paraId="323DB155">
      <w:pPr>
        <w:widowControl/>
        <w:tabs>
          <w:tab w:val="center" w:pos="4201"/>
          <w:tab w:val="right" w:leader="dot" w:pos="9298"/>
        </w:tabs>
        <w:autoSpaceDE w:val="0"/>
        <w:autoSpaceDN w:val="0"/>
        <w:spacing w:line="560" w:lineRule="exact"/>
        <w:outlineLvl w:val="1"/>
        <w:rPr>
          <w:rFonts w:eastAsia="仿宋"/>
          <w:b/>
          <w:bCs/>
          <w:kern w:val="0"/>
          <w:sz w:val="32"/>
          <w:szCs w:val="32"/>
        </w:rPr>
      </w:pPr>
      <w:r>
        <w:rPr>
          <w:rFonts w:eastAsia="仿宋"/>
          <w:b/>
          <w:bCs/>
          <w:kern w:val="0"/>
          <w:sz w:val="32"/>
          <w:szCs w:val="32"/>
        </w:rPr>
        <w:t>（二）编制依据</w:t>
      </w:r>
    </w:p>
    <w:p w14:paraId="03C8CA65">
      <w:pPr>
        <w:ind w:firstLine="640" w:firstLineChars="200"/>
        <w:rPr>
          <w:rFonts w:eastAsia="仿宋"/>
          <w:sz w:val="32"/>
          <w:szCs w:val="32"/>
        </w:rPr>
      </w:pPr>
      <w:r>
        <w:rPr>
          <w:rFonts w:eastAsia="仿宋"/>
          <w:sz w:val="32"/>
          <w:szCs w:val="32"/>
        </w:rPr>
        <w:t>本标准严格按照GB/T 1.1—2020《标准化工作导则  第1部分：标准化文件的结构和起草规则》的规则起草，标准主要内容参考相关标准文件并结合起草单位多年的</w:t>
      </w:r>
      <w:r>
        <w:rPr>
          <w:rFonts w:hint="eastAsia" w:eastAsia="仿宋"/>
          <w:sz w:val="32"/>
          <w:szCs w:val="32"/>
        </w:rPr>
        <w:t>相关</w:t>
      </w:r>
      <w:r>
        <w:rPr>
          <w:rFonts w:eastAsia="仿宋"/>
          <w:sz w:val="32"/>
          <w:szCs w:val="32"/>
        </w:rPr>
        <w:t>经验</w:t>
      </w:r>
      <w:r>
        <w:rPr>
          <w:rFonts w:hint="eastAsia" w:eastAsia="仿宋"/>
          <w:sz w:val="32"/>
          <w:szCs w:val="32"/>
        </w:rPr>
        <w:t>和实践</w:t>
      </w:r>
      <w:r>
        <w:rPr>
          <w:rFonts w:eastAsia="仿宋"/>
          <w:sz w:val="32"/>
          <w:szCs w:val="32"/>
        </w:rPr>
        <w:t>验证情况总结进行起草。</w:t>
      </w:r>
    </w:p>
    <w:p w14:paraId="4909473A">
      <w:pPr>
        <w:widowControl/>
        <w:tabs>
          <w:tab w:val="center" w:pos="4201"/>
          <w:tab w:val="right" w:leader="dot" w:pos="9298"/>
        </w:tabs>
        <w:autoSpaceDE w:val="0"/>
        <w:autoSpaceDN w:val="0"/>
        <w:spacing w:line="560" w:lineRule="exact"/>
        <w:outlineLvl w:val="1"/>
        <w:rPr>
          <w:rFonts w:eastAsia="仿宋"/>
          <w:b/>
          <w:bCs/>
          <w:kern w:val="0"/>
          <w:sz w:val="32"/>
          <w:szCs w:val="32"/>
        </w:rPr>
      </w:pPr>
      <w:r>
        <w:rPr>
          <w:rFonts w:eastAsia="仿宋"/>
          <w:b/>
          <w:bCs/>
          <w:kern w:val="0"/>
          <w:sz w:val="32"/>
          <w:szCs w:val="32"/>
        </w:rPr>
        <w:t>（三）与现行法律、法规的关系，与有关国家标准、行业标准的协调情况</w:t>
      </w:r>
    </w:p>
    <w:p w14:paraId="03FE614D">
      <w:pPr>
        <w:ind w:firstLine="640" w:firstLineChars="200"/>
        <w:rPr>
          <w:rFonts w:eastAsia="仿宋"/>
          <w:sz w:val="32"/>
          <w:szCs w:val="32"/>
        </w:rPr>
      </w:pPr>
      <w:r>
        <w:rPr>
          <w:rFonts w:hint="eastAsia" w:eastAsia="仿宋"/>
          <w:sz w:val="32"/>
          <w:szCs w:val="32"/>
        </w:rPr>
        <w:t>本编制工作组承诺本标准内容与各项指标不违反相关法律法规要求，且不低于国家强制性标准、推荐性国家标准和行业标准要求。</w:t>
      </w:r>
    </w:p>
    <w:p w14:paraId="42D20F8E">
      <w:pPr>
        <w:ind w:firstLine="640" w:firstLineChars="200"/>
        <w:rPr>
          <w:rFonts w:hint="eastAsia" w:ascii="仿宋_GB2312" w:hAnsi="宋体" w:eastAsia="仿宋_GB2312"/>
          <w:sz w:val="32"/>
          <w:szCs w:val="28"/>
        </w:rPr>
      </w:pPr>
      <w:r>
        <w:rPr>
          <w:rFonts w:hint="eastAsia" w:ascii="仿宋_GB2312" w:hAnsi="宋体" w:eastAsia="仿宋_GB2312"/>
          <w:sz w:val="32"/>
          <w:szCs w:val="28"/>
        </w:rPr>
        <w:t>经查阅，与“腐竹”有关的国家标准、行业标准、广西地方标准和团体标准有：</w:t>
      </w:r>
    </w:p>
    <w:p w14:paraId="73298A1D">
      <w:pPr>
        <w:ind w:firstLine="640" w:firstLineChars="200"/>
        <w:rPr>
          <w:rFonts w:hint="eastAsia" w:ascii="仿宋_GB2312" w:hAnsi="宋体" w:eastAsia="仿宋_GB2312"/>
          <w:sz w:val="32"/>
          <w:szCs w:val="28"/>
        </w:rPr>
      </w:pPr>
      <w:r>
        <w:rPr>
          <w:rFonts w:hint="eastAsia" w:ascii="仿宋_GB2312" w:hAnsi="宋体" w:eastAsia="仿宋_GB2312"/>
          <w:sz w:val="32"/>
          <w:szCs w:val="28"/>
        </w:rPr>
        <w:t>DB4453/T 01—2023《地理标志产品  托洞腐竹》规定了地理标志产品托洞腐竹的术语和定义、地理标志产品保护范围、产品分级、技术要求、试验方法、检验规则、标签标志、包装、运输和贮存等要求。适用于原国家质量监督检验检疫总局2012年第91号公告批准保护的托洞腐竹的生产和销售。由于该标准要求的托洞腐竹在原辅料选择和加工工艺上与本标准存在差异，因此该标准的指标和要求值不适用于钟山红花腐竹。</w:t>
      </w:r>
    </w:p>
    <w:p w14:paraId="491935A2">
      <w:pPr>
        <w:ind w:firstLine="640" w:firstLineChars="200"/>
        <w:rPr>
          <w:rFonts w:hint="eastAsia" w:ascii="仿宋_GB2312" w:hAnsi="宋体" w:eastAsia="仿宋_GB2312"/>
          <w:sz w:val="32"/>
          <w:szCs w:val="28"/>
        </w:rPr>
      </w:pPr>
      <w:r>
        <w:rPr>
          <w:rFonts w:hint="eastAsia" w:ascii="仿宋_GB2312" w:hAnsi="宋体" w:eastAsia="仿宋_GB2312"/>
          <w:sz w:val="32"/>
          <w:szCs w:val="28"/>
        </w:rPr>
        <w:t>DB41/T 649—2017《地理标志产品  许昌腐竹》规定了地理标志产品许昌腐竹的术语和定义、地理标志产品保护范围、技术要求、检验方法、检验规则、标签、标志、包装、运输、贮存。适用于由国家质量监督检验检疫行政主管部门根据《地理标志产品保护规定》批准保护的许昌腐竹。由于该标准要求的许昌腐竹在原辅料选择和加工工艺上与本标准存在差异，因此该标准的指标和要求值不适用于钟山红花腐竹。</w:t>
      </w:r>
    </w:p>
    <w:p w14:paraId="1AB07B36">
      <w:pPr>
        <w:ind w:firstLine="640" w:firstLineChars="200"/>
        <w:rPr>
          <w:rFonts w:hint="eastAsia" w:ascii="仿宋_GB2312" w:hAnsi="宋体" w:eastAsia="仿宋_GB2312"/>
          <w:sz w:val="32"/>
          <w:szCs w:val="28"/>
        </w:rPr>
      </w:pPr>
      <w:r>
        <w:rPr>
          <w:rFonts w:hint="eastAsia" w:ascii="仿宋_GB2312" w:hAnsi="宋体" w:eastAsia="仿宋_GB2312"/>
          <w:sz w:val="32"/>
          <w:szCs w:val="28"/>
        </w:rPr>
        <w:t>T/GXAS 258—2021《地理标志产品  桂林腐竹》界定了地理标志产品桂林腐竹涉及的术语和定义，规定了地理标志产品桂林腐竹的保护范围、生产、感官、理化指标、安全指标、食品添加剂和净含量等技术要求，描述了相应的检验方法和检验规则，规定了标志、标签、包装、运输、贮存和保质期等方面的内容。适用于地理标志产品桂林腐竹。由于该标准要求的桂林腐竹在原辅料选择和加工工艺上与本标准存在差异，因此该标准的指标和要求值不适用于钟山红花腐竹。</w:t>
      </w:r>
    </w:p>
    <w:p w14:paraId="1ABFF5C2">
      <w:pPr>
        <w:ind w:firstLine="640" w:firstLineChars="200"/>
        <w:rPr>
          <w:rFonts w:hint="eastAsia" w:ascii="仿宋_GB2312" w:hAnsi="宋体" w:eastAsia="仿宋_GB2312"/>
          <w:sz w:val="32"/>
          <w:szCs w:val="28"/>
        </w:rPr>
      </w:pPr>
      <w:r>
        <w:rPr>
          <w:rFonts w:hint="eastAsia" w:ascii="仿宋_GB2312" w:hAnsi="宋体" w:eastAsia="仿宋_GB2312"/>
          <w:sz w:val="32"/>
          <w:szCs w:val="28"/>
        </w:rPr>
        <w:t>T/GXAS 376—2022《社坡腐竹》界定了社坡腐竹的术语和定义，规定了社坡腐竹的原辅料、感官、理化指标、食品安全指标、食品添加剂和净含量等技术要求，描述了相应的检验方法和检验规则，规定了标志、标签、包装、运输、贮存和保质期等方面的内容。适用于桂平市行政区域内生产的社坡腐竹。由于该标准要求的社坡腐竹在原辅料选择和加工工艺上与本标准存在差异，因此该标准的指标和要求值不适用于钟山红花腐竹。</w:t>
      </w:r>
    </w:p>
    <w:p w14:paraId="07E85F84">
      <w:pPr>
        <w:ind w:firstLine="640" w:firstLineChars="200"/>
        <w:rPr>
          <w:rFonts w:hint="eastAsia" w:ascii="仿宋_GB2312" w:hAnsi="宋体" w:eastAsia="仿宋_GB2312"/>
          <w:sz w:val="32"/>
          <w:szCs w:val="28"/>
        </w:rPr>
      </w:pPr>
      <w:r>
        <w:rPr>
          <w:rFonts w:hint="eastAsia" w:ascii="仿宋_GB2312" w:hAnsi="宋体" w:eastAsia="仿宋_GB2312"/>
          <w:sz w:val="32"/>
          <w:szCs w:val="28"/>
        </w:rPr>
        <w:t>综上所述，目前各地区制定了适合本地腐竹产品的相关标准，腐竹的指标主要参照GB/T 22106-2008《非发酵豆制品》等相关国家标准的要求确定，但未发现制定有与钟山红花腐竹相关的标准，因此，有必要制定标准《钟山红花腐竹》，填补钟山红花腐竹标准空白。这将有利于政府对市场的监督管理，进一步提高钟山红花腐竹的产品质量，为打钟山红花腐竹地方区域品牌，提高产品影响力和销量，助力乡村振兴提供标准力量。</w:t>
      </w:r>
    </w:p>
    <w:p w14:paraId="14FD2F15">
      <w:pPr>
        <w:autoSpaceDE w:val="0"/>
        <w:autoSpaceDN w:val="0"/>
        <w:adjustRightInd w:val="0"/>
        <w:spacing w:before="156" w:beforeLines="50" w:after="156" w:afterLines="50" w:line="560" w:lineRule="exact"/>
        <w:ind w:firstLine="640" w:firstLineChars="200"/>
        <w:jc w:val="left"/>
        <w:rPr>
          <w:rFonts w:ascii="黑体" w:hAnsi="黑体" w:eastAsia="黑体" w:cs="仿宋_GB2312"/>
          <w:sz w:val="32"/>
          <w:szCs w:val="32"/>
        </w:rPr>
      </w:pPr>
      <w:bookmarkStart w:id="1" w:name="_Toc526940084"/>
      <w:r>
        <w:rPr>
          <w:rFonts w:hint="eastAsia" w:ascii="黑体" w:hAnsi="黑体" w:eastAsia="黑体" w:cs="仿宋_GB2312"/>
          <w:sz w:val="32"/>
          <w:szCs w:val="32"/>
        </w:rPr>
        <w:t>五、</w:t>
      </w:r>
      <w:bookmarkEnd w:id="1"/>
      <w:r>
        <w:rPr>
          <w:rFonts w:hint="eastAsia" w:ascii="黑体" w:hAnsi="黑体" w:eastAsia="黑体" w:cs="仿宋_GB2312"/>
          <w:sz w:val="32"/>
          <w:szCs w:val="32"/>
        </w:rPr>
        <w:t>主要条款的说明</w:t>
      </w:r>
    </w:p>
    <w:p w14:paraId="4F8C44AA">
      <w:pPr>
        <w:ind w:firstLine="640" w:firstLineChars="200"/>
        <w:rPr>
          <w:rFonts w:hint="eastAsia" w:ascii="仿宋_GB2312" w:hAnsi="宋体" w:eastAsia="仿宋_GB2312"/>
          <w:sz w:val="32"/>
          <w:szCs w:val="32"/>
          <w:highlight w:val="none"/>
          <w:lang w:val="zh-CN"/>
        </w:rPr>
      </w:pPr>
      <w:r>
        <w:rPr>
          <w:rFonts w:hint="eastAsia" w:ascii="仿宋_GB2312" w:hAnsi="宋体" w:eastAsia="仿宋_GB2312"/>
          <w:sz w:val="32"/>
          <w:szCs w:val="32"/>
          <w:highlight w:val="none"/>
          <w:lang w:val="zh-CN"/>
        </w:rPr>
        <w:t>钟山县按照“一镇一业，一村一品”的发展定位，积极引导红花镇依托资源优势，大力发展腐竹制作地方特色产业。目前，红花镇以汤公村腐竹加工作为主要牵头，形成了集聚效应，不断提升腐竹产业价值链，带动全镇腐竹加工产业发展，全力打响“红花腐竹”品牌。</w:t>
      </w:r>
      <w:r>
        <w:rPr>
          <w:rFonts w:hint="eastAsia" w:ascii="仿宋_GB2312" w:hAnsi="宋体" w:eastAsia="仿宋_GB2312"/>
          <w:sz w:val="32"/>
          <w:szCs w:val="32"/>
          <w:highlight w:val="none"/>
          <w:lang w:val="en-US" w:eastAsia="zh-CN"/>
        </w:rPr>
        <w:t>2023年数据统计</w:t>
      </w:r>
      <w:r>
        <w:rPr>
          <w:rFonts w:hint="eastAsia" w:ascii="仿宋_GB2312" w:hAnsi="宋体" w:eastAsia="仿宋_GB2312"/>
          <w:sz w:val="32"/>
          <w:szCs w:val="32"/>
          <w:highlight w:val="none"/>
          <w:lang w:val="zh-CN"/>
        </w:rPr>
        <w:t>，全镇从事腐竹加工67家，年产量80余万斤，年产值1440余万元，有效解决村民就近就业100多人，从业人员年收入增加1万元以上。</w:t>
      </w:r>
      <w:r>
        <w:rPr>
          <w:rFonts w:hint="eastAsia" w:ascii="仿宋_GB2312" w:hAnsi="宋体" w:eastAsia="仿宋_GB2312"/>
          <w:sz w:val="32"/>
          <w:szCs w:val="32"/>
          <w:highlight w:val="none"/>
          <w:lang w:val="en-US" w:eastAsia="zh-CN"/>
        </w:rPr>
        <w:t>单单</w:t>
      </w:r>
      <w:r>
        <w:rPr>
          <w:rFonts w:hint="eastAsia" w:ascii="仿宋_GB2312" w:hAnsi="宋体" w:eastAsia="仿宋_GB2312"/>
          <w:sz w:val="32"/>
          <w:szCs w:val="32"/>
          <w:highlight w:val="none"/>
          <w:lang w:val="zh-CN"/>
        </w:rPr>
        <w:t>汤公村</w:t>
      </w:r>
      <w:r>
        <w:rPr>
          <w:rFonts w:hint="eastAsia" w:ascii="仿宋_GB2312" w:hAnsi="宋体" w:eastAsia="仿宋_GB2312"/>
          <w:sz w:val="32"/>
          <w:szCs w:val="32"/>
          <w:highlight w:val="none"/>
          <w:lang w:val="en-US" w:eastAsia="zh-CN"/>
        </w:rPr>
        <w:t>就</w:t>
      </w:r>
      <w:r>
        <w:rPr>
          <w:rFonts w:hint="eastAsia" w:ascii="仿宋_GB2312" w:hAnsi="宋体" w:eastAsia="仿宋_GB2312"/>
          <w:sz w:val="32"/>
          <w:szCs w:val="32"/>
          <w:highlight w:val="none"/>
          <w:lang w:val="zh-CN"/>
        </w:rPr>
        <w:t>已发展农户加工腐竹36家，带动刘祖任等6户通过加工腐竹产业脱贫致富，解决村民就业50多人，汤公腐竹销售年产值超过360万元，实现村集体年均带动村民增收10万元以上。</w:t>
      </w:r>
    </w:p>
    <w:p w14:paraId="6EB5FF87">
      <w:pPr>
        <w:ind w:firstLine="640" w:firstLineChars="20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钟山红花腐竹在原料和工艺上有其特点，首先在原料上，红花镇坚持用山泉水制作腐竹，没有任何添加剂，生产出来的腐竹具有豆香味浓郁、口感好、颜色美、入汤不化、易煮软、且久煮不烂等特点，深受顾客好评，红花腐竹供不应求。此外，钟山红花腐竹生产沿袭传统古法制作工艺，包括选豆、去皮、浸泡、磨浆、过滤、煮浆、结皮、起皮、烘干、挂浆、二次烘干、包装等，古法制作工艺虽然产量较低但能够更好地锁住黄豆和山泉水的精华，所以制作出来的腐竹品质更高。相较于GB/T 22106—2008《非发酵豆制品》和目前已发布的“腐竹”相关的产品标准，钟山红花腐竹的水分含量更低，特级腐竹达到10g/100g以下，所以生产出来的腐竹更脆；蛋白质和脂肪的含量更高，特级腐竹蛋白质含量≥47g/100g，脂肪含量≥20g/100g，目前最高的腐竹质量标准，所以豆香味更加浓郁，营养更加丰富。</w:t>
      </w:r>
    </w:p>
    <w:p w14:paraId="5003E715">
      <w:pPr>
        <w:ind w:firstLine="640" w:firstLineChars="200"/>
        <w:rPr>
          <w:rFonts w:ascii="仿宋_GB2312" w:hAnsi="宋体" w:eastAsia="仿宋_GB2312"/>
          <w:sz w:val="32"/>
          <w:szCs w:val="32"/>
          <w:lang w:val="zh-CN"/>
        </w:rPr>
      </w:pPr>
      <w:r>
        <w:rPr>
          <w:rFonts w:hint="eastAsia" w:ascii="仿宋_GB2312" w:hAnsi="宋体" w:eastAsia="仿宋_GB2312"/>
          <w:sz w:val="32"/>
          <w:szCs w:val="32"/>
          <w:highlight w:val="none"/>
          <w:lang w:val="zh-CN"/>
        </w:rPr>
        <w:t>团体标准《钟山红花腐竹》的主要章节内容包括：</w:t>
      </w:r>
      <w:r>
        <w:rPr>
          <w:rFonts w:hint="eastAsia" w:ascii="仿宋_GB2312" w:hAnsi="宋体" w:eastAsia="仿宋_GB2312"/>
          <w:sz w:val="32"/>
          <w:szCs w:val="28"/>
          <w:highlight w:val="none"/>
        </w:rPr>
        <w:t>术语和定义、感官要求、理化指标、试验方法、检验规则、标签、标志、包装、运输、贮存和保质期</w:t>
      </w:r>
      <w:r>
        <w:rPr>
          <w:rFonts w:hint="eastAsia" w:ascii="仿宋_GB2312" w:hAnsi="宋体" w:eastAsia="仿宋_GB2312"/>
          <w:sz w:val="32"/>
          <w:szCs w:val="32"/>
          <w:highlight w:val="none"/>
          <w:lang w:val="zh-CN"/>
        </w:rPr>
        <w:t>。</w:t>
      </w:r>
      <w:r>
        <w:rPr>
          <w:rFonts w:hint="eastAsia" w:ascii="仿宋_GB2312" w:hAnsi="宋体" w:eastAsia="仿宋_GB2312"/>
          <w:sz w:val="32"/>
          <w:szCs w:val="32"/>
          <w:lang w:val="zh-CN"/>
        </w:rPr>
        <w:t>本文件主要内容及依据来源说明如下：</w:t>
      </w:r>
    </w:p>
    <w:p w14:paraId="40C50225">
      <w:pPr>
        <w:pStyle w:val="30"/>
        <w:numPr>
          <w:ilvl w:val="0"/>
          <w:numId w:val="9"/>
        </w:numPr>
        <w:autoSpaceDE w:val="0"/>
        <w:autoSpaceDN w:val="0"/>
        <w:adjustRightInd w:val="0"/>
        <w:spacing w:before="156" w:beforeLines="50" w:after="156" w:afterLines="50" w:line="560" w:lineRule="exact"/>
        <w:ind w:firstLineChars="0"/>
        <w:jc w:val="left"/>
        <w:rPr>
          <w:rFonts w:ascii="仿宋_GB2312" w:hAnsi="宋体" w:eastAsia="仿宋_GB2312"/>
          <w:b/>
          <w:sz w:val="32"/>
          <w:szCs w:val="32"/>
          <w:lang w:val="zh-CN"/>
        </w:rPr>
      </w:pPr>
      <w:r>
        <w:rPr>
          <w:rFonts w:hint="eastAsia" w:ascii="仿宋_GB2312" w:hAnsi="宋体" w:eastAsia="仿宋_GB2312"/>
          <w:b/>
          <w:sz w:val="32"/>
          <w:szCs w:val="32"/>
          <w:lang w:val="zh-CN"/>
        </w:rPr>
        <w:t>术语与定义</w:t>
      </w:r>
    </w:p>
    <w:p w14:paraId="1C475781">
      <w:pPr>
        <w:ind w:firstLine="640" w:firstLineChars="20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主要根据钟山红花腐竹的产地、原料、工艺和产品特点，对其进行定义，即钟山县红花镇为主产区，以大豆、红花镇山泉水为原料，经选豆、去皮、浸泡、磨浆、过滤、煮浆、结皮、起皮、烘干、挂浆、二次烘干、包装等工艺加工制成的特色地方干燥豆制品。</w:t>
      </w:r>
    </w:p>
    <w:p w14:paraId="25887CCB">
      <w:pPr>
        <w:pStyle w:val="30"/>
        <w:numPr>
          <w:ilvl w:val="0"/>
          <w:numId w:val="9"/>
        </w:numPr>
        <w:autoSpaceDE w:val="0"/>
        <w:autoSpaceDN w:val="0"/>
        <w:adjustRightInd w:val="0"/>
        <w:spacing w:before="156" w:beforeLines="50" w:after="156" w:afterLines="50" w:line="560" w:lineRule="exact"/>
        <w:ind w:firstLineChars="0"/>
        <w:jc w:val="left"/>
        <w:rPr>
          <w:rFonts w:ascii="仿宋_GB2312" w:hAnsi="宋体" w:eastAsia="仿宋_GB2312"/>
          <w:b/>
          <w:sz w:val="32"/>
          <w:szCs w:val="32"/>
          <w:lang w:val="zh-CN"/>
        </w:rPr>
      </w:pPr>
      <w:r>
        <w:rPr>
          <w:rFonts w:hint="eastAsia" w:ascii="仿宋_GB2312" w:hAnsi="宋体" w:eastAsia="仿宋_GB2312"/>
          <w:b/>
          <w:sz w:val="32"/>
          <w:szCs w:val="32"/>
          <w:lang w:val="en-US" w:eastAsia="zh-CN"/>
        </w:rPr>
        <w:t>技术要求</w:t>
      </w:r>
    </w:p>
    <w:p w14:paraId="64C18C4F">
      <w:pPr>
        <w:ind w:firstLine="643" w:firstLineChars="200"/>
        <w:rPr>
          <w:rFonts w:hint="eastAsia" w:ascii="仿宋_GB2312" w:hAnsi="宋体" w:eastAsia="仿宋_GB2312"/>
          <w:b/>
          <w:bCs/>
          <w:sz w:val="32"/>
          <w:szCs w:val="32"/>
          <w:lang w:val="en-US" w:eastAsia="zh-CN"/>
        </w:rPr>
      </w:pPr>
      <w:r>
        <w:rPr>
          <w:rFonts w:hint="eastAsia" w:ascii="仿宋_GB2312" w:hAnsi="宋体" w:eastAsia="仿宋_GB2312"/>
          <w:b/>
          <w:bCs/>
          <w:sz w:val="32"/>
          <w:szCs w:val="32"/>
          <w:lang w:val="en-US" w:eastAsia="zh-CN"/>
        </w:rPr>
        <w:t>1、感官要求</w:t>
      </w:r>
    </w:p>
    <w:p w14:paraId="1D9527A0">
      <w:pPr>
        <w:ind w:firstLine="640" w:firstLineChars="20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钟山红花腐竹沿袭传统古法制作工艺制作，优选非转基因高品质大豆和红花镇山泉水作为原料，不含添加剂，腐竹产品具有含水率低，质地脆，豆香味浓郁，易煮软，久煮不烂，口感爽滑、Q弹有韧劲。具体感官要求主要参考GB/T 22106—2008《非发酵豆制品》和相关腐竹产品标准的基础上，结合各个代表性企业的意见，根据产品实际特点进行确定，见表1。</w:t>
      </w:r>
    </w:p>
    <w:p w14:paraId="18AC506E">
      <w:pPr>
        <w:ind w:firstLine="643" w:firstLineChars="200"/>
        <w:jc w:val="center"/>
        <w:rPr>
          <w:rFonts w:hint="default" w:ascii="仿宋_GB2312" w:hAnsi="宋体" w:eastAsia="仿宋_GB2312"/>
          <w:b/>
          <w:bCs/>
          <w:sz w:val="32"/>
          <w:szCs w:val="32"/>
          <w:lang w:val="en-US" w:eastAsia="zh-CN"/>
        </w:rPr>
      </w:pPr>
      <w:r>
        <w:rPr>
          <w:rFonts w:hint="eastAsia" w:ascii="仿宋_GB2312" w:hAnsi="宋体" w:eastAsia="仿宋_GB2312"/>
          <w:b/>
          <w:bCs/>
          <w:sz w:val="32"/>
          <w:szCs w:val="32"/>
          <w:lang w:val="en-US" w:eastAsia="zh-CN"/>
        </w:rPr>
        <w:t>表1 感官要求</w:t>
      </w:r>
    </w:p>
    <w:tbl>
      <w:tblPr>
        <w:tblStyle w:val="7"/>
        <w:tblW w:w="5000"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868"/>
        <w:gridCol w:w="7306"/>
      </w:tblGrid>
      <w:tr w14:paraId="5FAC4A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315" w:hRule="atLeast"/>
        </w:trPr>
        <w:tc>
          <w:tcPr>
            <w:tcW w:w="1018" w:type="pct"/>
            <w:tcBorders>
              <w:top w:val="single" w:color="auto" w:sz="8" w:space="0"/>
              <w:left w:val="single" w:color="auto" w:sz="8" w:space="0"/>
              <w:bottom w:val="single" w:color="auto" w:sz="4" w:space="0"/>
              <w:right w:val="single" w:color="auto" w:sz="4" w:space="0"/>
            </w:tcBorders>
            <w:shd w:val="clear" w:color="auto" w:fill="auto"/>
            <w:vAlign w:val="center"/>
          </w:tcPr>
          <w:p w14:paraId="0EC90376">
            <w:pPr>
              <w:keepNext w:val="0"/>
              <w:keepLines w:val="0"/>
              <w:widowControl w:val="0"/>
              <w:suppressLineNumbers w:val="0"/>
              <w:adjustRightInd w:val="0"/>
              <w:spacing w:before="0" w:beforeAutospacing="0" w:after="0" w:afterAutospacing="0" w:line="320" w:lineRule="exact"/>
              <w:ind w:left="0" w:right="0"/>
              <w:jc w:val="center"/>
              <w:rPr>
                <w:rFonts w:hint="eastAsia" w:ascii="宋体" w:hAnsi="宋体" w:eastAsia="宋体" w:cs="宋体"/>
                <w:sz w:val="21"/>
                <w:szCs w:val="24"/>
                <w:lang w:val="en-US"/>
              </w:rPr>
            </w:pPr>
            <w:r>
              <w:rPr>
                <w:rFonts w:hint="eastAsia" w:ascii="宋体" w:hAnsi="宋体" w:eastAsia="宋体" w:cs="宋体"/>
                <w:kern w:val="2"/>
                <w:sz w:val="21"/>
                <w:szCs w:val="24"/>
                <w:lang w:val="en-US" w:eastAsia="zh-CN" w:bidi="ar"/>
              </w:rPr>
              <w:t>项目</w:t>
            </w:r>
          </w:p>
        </w:tc>
        <w:tc>
          <w:tcPr>
            <w:tcW w:w="3981" w:type="pct"/>
            <w:tcBorders>
              <w:top w:val="single" w:color="auto" w:sz="8" w:space="0"/>
              <w:left w:val="single" w:color="auto" w:sz="4" w:space="0"/>
              <w:bottom w:val="single" w:color="auto" w:sz="4" w:space="0"/>
              <w:right w:val="single" w:color="auto" w:sz="8" w:space="0"/>
            </w:tcBorders>
            <w:shd w:val="clear" w:color="auto" w:fill="auto"/>
            <w:vAlign w:val="center"/>
          </w:tcPr>
          <w:p w14:paraId="038E52D9">
            <w:pPr>
              <w:keepNext w:val="0"/>
              <w:keepLines w:val="0"/>
              <w:widowControl w:val="0"/>
              <w:suppressLineNumbers w:val="0"/>
              <w:adjustRightInd w:val="0"/>
              <w:spacing w:before="0" w:beforeAutospacing="0" w:after="0" w:afterAutospacing="0" w:line="320" w:lineRule="exact"/>
              <w:ind w:left="0" w:right="0"/>
              <w:jc w:val="center"/>
              <w:rPr>
                <w:rFonts w:hint="eastAsia" w:ascii="宋体" w:hAnsi="宋体" w:eastAsia="宋体" w:cs="宋体"/>
                <w:sz w:val="21"/>
                <w:szCs w:val="24"/>
                <w:lang w:val="en-US"/>
              </w:rPr>
            </w:pPr>
            <w:r>
              <w:rPr>
                <w:rFonts w:hint="eastAsia" w:ascii="宋体" w:hAnsi="宋体" w:eastAsia="宋体" w:cs="宋体"/>
                <w:kern w:val="2"/>
                <w:sz w:val="21"/>
                <w:szCs w:val="24"/>
                <w:lang w:val="en-US" w:eastAsia="zh-CN" w:bidi="ar"/>
              </w:rPr>
              <w:t>要求</w:t>
            </w:r>
          </w:p>
        </w:tc>
      </w:tr>
      <w:tr w14:paraId="2E3DB1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330" w:hRule="atLeast"/>
        </w:trPr>
        <w:tc>
          <w:tcPr>
            <w:tcW w:w="1018" w:type="pct"/>
            <w:tcBorders>
              <w:top w:val="single" w:color="auto" w:sz="8" w:space="0"/>
              <w:left w:val="single" w:color="auto" w:sz="8" w:space="0"/>
              <w:bottom w:val="single" w:color="auto" w:sz="4" w:space="0"/>
              <w:right w:val="single" w:color="auto" w:sz="4" w:space="0"/>
            </w:tcBorders>
            <w:shd w:val="clear" w:color="auto" w:fill="auto"/>
            <w:vAlign w:val="center"/>
          </w:tcPr>
          <w:p w14:paraId="5BCC5D70">
            <w:pPr>
              <w:keepNext w:val="0"/>
              <w:keepLines w:val="0"/>
              <w:widowControl w:val="0"/>
              <w:suppressLineNumbers w:val="0"/>
              <w:adjustRightInd w:val="0"/>
              <w:spacing w:before="0" w:beforeAutospacing="0" w:after="0" w:afterAutospacing="0" w:line="320" w:lineRule="exact"/>
              <w:ind w:left="0" w:right="0"/>
              <w:jc w:val="center"/>
              <w:rPr>
                <w:rFonts w:hint="eastAsia" w:ascii="宋体" w:hAnsi="宋体" w:eastAsia="宋体" w:cs="宋体"/>
                <w:sz w:val="21"/>
                <w:szCs w:val="24"/>
                <w:lang w:val="en-US"/>
              </w:rPr>
            </w:pPr>
            <w:r>
              <w:rPr>
                <w:rFonts w:hint="eastAsia" w:ascii="宋体" w:hAnsi="宋体" w:eastAsia="宋体" w:cs="宋体"/>
                <w:kern w:val="2"/>
                <w:sz w:val="21"/>
                <w:szCs w:val="24"/>
                <w:lang w:val="en-US" w:eastAsia="zh-CN" w:bidi="ar"/>
              </w:rPr>
              <w:t>色泽</w:t>
            </w:r>
          </w:p>
        </w:tc>
        <w:tc>
          <w:tcPr>
            <w:tcW w:w="3981" w:type="pct"/>
            <w:tcBorders>
              <w:top w:val="single" w:color="auto" w:sz="8" w:space="0"/>
              <w:left w:val="single" w:color="auto" w:sz="4" w:space="0"/>
              <w:bottom w:val="single" w:color="auto" w:sz="4" w:space="0"/>
              <w:right w:val="single" w:color="auto" w:sz="8" w:space="0"/>
            </w:tcBorders>
            <w:shd w:val="clear" w:color="auto" w:fill="auto"/>
            <w:vAlign w:val="center"/>
          </w:tcPr>
          <w:p w14:paraId="0BD98E74">
            <w:pPr>
              <w:keepNext w:val="0"/>
              <w:keepLines w:val="0"/>
              <w:widowControl w:val="0"/>
              <w:suppressLineNumbers w:val="0"/>
              <w:adjustRightInd w:val="0"/>
              <w:spacing w:before="0" w:beforeAutospacing="0" w:after="0" w:afterAutospacing="0" w:line="320" w:lineRule="exact"/>
              <w:ind w:left="0" w:right="0" w:firstLine="210" w:firstLineChars="100"/>
              <w:jc w:val="left"/>
              <w:rPr>
                <w:rFonts w:hint="eastAsia" w:ascii="宋体" w:hAnsi="宋体" w:eastAsia="宋体" w:cs="宋体"/>
                <w:sz w:val="21"/>
                <w:szCs w:val="24"/>
                <w:lang w:val="en-US"/>
              </w:rPr>
            </w:pPr>
            <w:r>
              <w:rPr>
                <w:rFonts w:hint="eastAsia" w:ascii="宋体" w:hAnsi="宋体" w:eastAsia="宋体" w:cs="宋体"/>
                <w:kern w:val="2"/>
                <w:sz w:val="21"/>
                <w:szCs w:val="24"/>
                <w:lang w:val="en-US" w:eastAsia="zh-CN" w:bidi="ar"/>
              </w:rPr>
              <w:t>呈淡黄色至黄色，色泽均匀，无霉斑</w:t>
            </w:r>
          </w:p>
        </w:tc>
      </w:tr>
      <w:tr w14:paraId="6B631E5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Pr>
        <w:tc>
          <w:tcPr>
            <w:tcW w:w="1018" w:type="pct"/>
            <w:tcBorders>
              <w:top w:val="single" w:color="auto" w:sz="4" w:space="0"/>
              <w:left w:val="single" w:color="auto" w:sz="8" w:space="0"/>
              <w:bottom w:val="single" w:color="auto" w:sz="4" w:space="0"/>
              <w:right w:val="single" w:color="auto" w:sz="4" w:space="0"/>
            </w:tcBorders>
            <w:shd w:val="clear" w:color="auto" w:fill="auto"/>
            <w:vAlign w:val="center"/>
          </w:tcPr>
          <w:p w14:paraId="7F8DD5B1">
            <w:pPr>
              <w:keepNext w:val="0"/>
              <w:keepLines w:val="0"/>
              <w:widowControl w:val="0"/>
              <w:suppressLineNumbers w:val="0"/>
              <w:adjustRightInd w:val="0"/>
              <w:spacing w:before="0" w:beforeAutospacing="0" w:after="0" w:afterAutospacing="0" w:line="320" w:lineRule="exact"/>
              <w:ind w:left="0" w:right="0"/>
              <w:jc w:val="center"/>
              <w:rPr>
                <w:rFonts w:hint="eastAsia" w:ascii="宋体" w:hAnsi="宋体" w:eastAsia="宋体" w:cs="宋体"/>
                <w:sz w:val="21"/>
                <w:szCs w:val="24"/>
                <w:lang w:val="en-US"/>
              </w:rPr>
            </w:pPr>
            <w:r>
              <w:rPr>
                <w:rFonts w:hint="eastAsia" w:ascii="宋体" w:hAnsi="宋体" w:eastAsia="宋体" w:cs="宋体"/>
                <w:kern w:val="2"/>
                <w:sz w:val="21"/>
                <w:szCs w:val="24"/>
                <w:lang w:val="en-US" w:eastAsia="zh-CN" w:bidi="ar"/>
              </w:rPr>
              <w:t>形态</w:t>
            </w:r>
          </w:p>
        </w:tc>
        <w:tc>
          <w:tcPr>
            <w:tcW w:w="3981" w:type="pct"/>
            <w:tcBorders>
              <w:top w:val="single" w:color="auto" w:sz="4" w:space="0"/>
              <w:left w:val="single" w:color="auto" w:sz="4" w:space="0"/>
              <w:bottom w:val="single" w:color="auto" w:sz="4" w:space="0"/>
              <w:right w:val="single" w:color="auto" w:sz="8" w:space="0"/>
            </w:tcBorders>
            <w:shd w:val="clear" w:color="auto" w:fill="auto"/>
            <w:vAlign w:val="center"/>
          </w:tcPr>
          <w:p w14:paraId="5909C5B8">
            <w:pPr>
              <w:keepNext w:val="0"/>
              <w:keepLines w:val="0"/>
              <w:widowControl w:val="0"/>
              <w:suppressLineNumbers w:val="0"/>
              <w:adjustRightInd w:val="0"/>
              <w:spacing w:before="0" w:beforeAutospacing="0" w:after="0" w:afterAutospacing="0" w:line="320" w:lineRule="exact"/>
              <w:ind w:left="0" w:right="0" w:firstLine="210" w:firstLineChars="100"/>
              <w:jc w:val="left"/>
              <w:rPr>
                <w:rFonts w:hint="eastAsia" w:ascii="宋体" w:hAnsi="宋体" w:eastAsia="宋体" w:cs="宋体"/>
                <w:sz w:val="21"/>
                <w:szCs w:val="24"/>
                <w:lang w:val="en-US"/>
              </w:rPr>
            </w:pPr>
            <w:r>
              <w:rPr>
                <w:rFonts w:hint="eastAsia" w:ascii="宋体" w:hAnsi="宋体" w:eastAsia="宋体" w:cs="宋体"/>
                <w:kern w:val="2"/>
                <w:sz w:val="21"/>
                <w:szCs w:val="24"/>
                <w:lang w:val="en-US" w:eastAsia="zh-CN" w:bidi="ar"/>
              </w:rPr>
              <w:t>呈片状，质地脆</w:t>
            </w:r>
          </w:p>
        </w:tc>
      </w:tr>
      <w:tr w14:paraId="4EA603D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Pr>
        <w:tc>
          <w:tcPr>
            <w:tcW w:w="1018" w:type="pct"/>
            <w:tcBorders>
              <w:top w:val="single" w:color="auto" w:sz="4" w:space="0"/>
              <w:left w:val="single" w:color="auto" w:sz="8" w:space="0"/>
              <w:bottom w:val="single" w:color="auto" w:sz="4" w:space="0"/>
              <w:right w:val="single" w:color="auto" w:sz="4" w:space="0"/>
            </w:tcBorders>
            <w:shd w:val="clear" w:color="auto" w:fill="auto"/>
            <w:vAlign w:val="center"/>
          </w:tcPr>
          <w:p w14:paraId="4EA7C952">
            <w:pPr>
              <w:keepNext w:val="0"/>
              <w:keepLines w:val="0"/>
              <w:widowControl w:val="0"/>
              <w:suppressLineNumbers w:val="0"/>
              <w:adjustRightInd w:val="0"/>
              <w:spacing w:before="0" w:beforeAutospacing="0" w:after="0" w:afterAutospacing="0" w:line="320" w:lineRule="exact"/>
              <w:ind w:left="0" w:right="0"/>
              <w:jc w:val="center"/>
              <w:rPr>
                <w:rFonts w:hint="eastAsia" w:ascii="宋体" w:hAnsi="宋体" w:eastAsia="宋体" w:cs="宋体"/>
                <w:sz w:val="21"/>
                <w:szCs w:val="24"/>
                <w:lang w:val="en-US"/>
              </w:rPr>
            </w:pPr>
            <w:r>
              <w:rPr>
                <w:rFonts w:hint="eastAsia" w:ascii="宋体" w:hAnsi="宋体" w:eastAsia="宋体" w:cs="宋体"/>
                <w:kern w:val="2"/>
                <w:sz w:val="21"/>
                <w:szCs w:val="24"/>
                <w:lang w:val="en-US" w:eastAsia="zh-CN" w:bidi="ar"/>
              </w:rPr>
              <w:t>气味</w:t>
            </w:r>
          </w:p>
        </w:tc>
        <w:tc>
          <w:tcPr>
            <w:tcW w:w="3981" w:type="pct"/>
            <w:tcBorders>
              <w:top w:val="single" w:color="auto" w:sz="4" w:space="0"/>
              <w:left w:val="single" w:color="auto" w:sz="4" w:space="0"/>
              <w:bottom w:val="single" w:color="auto" w:sz="4" w:space="0"/>
              <w:right w:val="single" w:color="auto" w:sz="8" w:space="0"/>
            </w:tcBorders>
            <w:shd w:val="clear" w:color="auto" w:fill="auto"/>
            <w:vAlign w:val="center"/>
          </w:tcPr>
          <w:p w14:paraId="083D0525">
            <w:pPr>
              <w:keepNext w:val="0"/>
              <w:keepLines w:val="0"/>
              <w:widowControl w:val="0"/>
              <w:suppressLineNumbers w:val="0"/>
              <w:adjustRightInd w:val="0"/>
              <w:spacing w:before="0" w:beforeAutospacing="0" w:after="0" w:afterAutospacing="0" w:line="320" w:lineRule="exact"/>
              <w:ind w:left="0" w:right="0" w:firstLine="210" w:firstLineChars="100"/>
              <w:jc w:val="left"/>
              <w:rPr>
                <w:rFonts w:hint="eastAsia" w:ascii="宋体" w:hAnsi="宋体" w:eastAsia="宋体" w:cs="宋体"/>
                <w:sz w:val="21"/>
                <w:szCs w:val="24"/>
                <w:lang w:val="en-US"/>
              </w:rPr>
            </w:pPr>
            <w:r>
              <w:rPr>
                <w:rFonts w:hint="eastAsia" w:ascii="宋体" w:hAnsi="宋体" w:eastAsia="宋体" w:cs="宋体"/>
                <w:kern w:val="2"/>
                <w:sz w:val="21"/>
                <w:szCs w:val="24"/>
                <w:lang w:val="en-US" w:eastAsia="zh-CN" w:bidi="ar"/>
              </w:rPr>
              <w:t>具有浓郁的豆香味，无异味、无酸味、无霉味</w:t>
            </w:r>
          </w:p>
        </w:tc>
      </w:tr>
      <w:tr w14:paraId="75F89B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Pr>
        <w:tc>
          <w:tcPr>
            <w:tcW w:w="1018" w:type="pct"/>
            <w:tcBorders>
              <w:top w:val="single" w:color="auto" w:sz="4" w:space="0"/>
              <w:left w:val="single" w:color="auto" w:sz="8" w:space="0"/>
              <w:bottom w:val="single" w:color="auto" w:sz="4" w:space="0"/>
              <w:right w:val="single" w:color="auto" w:sz="4" w:space="0"/>
            </w:tcBorders>
            <w:shd w:val="clear" w:color="auto" w:fill="auto"/>
            <w:vAlign w:val="center"/>
          </w:tcPr>
          <w:p w14:paraId="02A0E642">
            <w:pPr>
              <w:keepNext w:val="0"/>
              <w:keepLines w:val="0"/>
              <w:widowControl w:val="0"/>
              <w:suppressLineNumbers w:val="0"/>
              <w:adjustRightInd w:val="0"/>
              <w:spacing w:before="0" w:beforeAutospacing="0" w:after="0" w:afterAutospacing="0" w:line="320" w:lineRule="exact"/>
              <w:ind w:left="0" w:right="0"/>
              <w:jc w:val="center"/>
              <w:rPr>
                <w:rFonts w:hint="eastAsia" w:ascii="宋体" w:hAnsi="宋体" w:eastAsia="宋体" w:cs="宋体"/>
                <w:sz w:val="21"/>
                <w:szCs w:val="24"/>
                <w:lang w:val="en-US"/>
              </w:rPr>
            </w:pPr>
            <w:r>
              <w:rPr>
                <w:rFonts w:hint="eastAsia" w:ascii="宋体" w:hAnsi="宋体" w:eastAsia="宋体" w:cs="宋体"/>
                <w:kern w:val="2"/>
                <w:sz w:val="21"/>
                <w:szCs w:val="24"/>
                <w:lang w:val="en-US" w:eastAsia="zh-CN" w:bidi="ar"/>
              </w:rPr>
              <w:t>杂质</w:t>
            </w:r>
          </w:p>
        </w:tc>
        <w:tc>
          <w:tcPr>
            <w:tcW w:w="3981" w:type="pct"/>
            <w:tcBorders>
              <w:top w:val="single" w:color="auto" w:sz="4" w:space="0"/>
              <w:left w:val="single" w:color="auto" w:sz="4" w:space="0"/>
              <w:bottom w:val="single" w:color="auto" w:sz="4" w:space="0"/>
              <w:right w:val="single" w:color="auto" w:sz="8" w:space="0"/>
            </w:tcBorders>
            <w:shd w:val="clear" w:color="auto" w:fill="auto"/>
            <w:vAlign w:val="center"/>
          </w:tcPr>
          <w:p w14:paraId="4E38116C">
            <w:pPr>
              <w:keepNext w:val="0"/>
              <w:keepLines w:val="0"/>
              <w:widowControl w:val="0"/>
              <w:suppressLineNumbers w:val="0"/>
              <w:adjustRightInd w:val="0"/>
              <w:spacing w:before="0" w:beforeAutospacing="0" w:after="0" w:afterAutospacing="0" w:line="320" w:lineRule="exact"/>
              <w:ind w:left="0" w:right="0" w:firstLine="210" w:firstLineChars="100"/>
              <w:jc w:val="left"/>
              <w:rPr>
                <w:rFonts w:hint="eastAsia" w:ascii="宋体" w:hAnsi="宋体" w:eastAsia="宋体" w:cs="宋体"/>
                <w:sz w:val="21"/>
                <w:szCs w:val="24"/>
                <w:lang w:val="en-US"/>
              </w:rPr>
            </w:pPr>
            <w:r>
              <w:rPr>
                <w:rFonts w:hint="eastAsia" w:ascii="Calibri" w:hAnsi="Calibri" w:eastAsia="宋体" w:cs="宋体"/>
                <w:kern w:val="2"/>
                <w:sz w:val="21"/>
                <w:szCs w:val="24"/>
                <w:lang w:val="en-US" w:eastAsia="zh-CN" w:bidi="ar"/>
              </w:rPr>
              <w:t>无正常视力可见的外来异物</w:t>
            </w:r>
          </w:p>
        </w:tc>
      </w:tr>
      <w:tr w14:paraId="062815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Pr>
        <w:tc>
          <w:tcPr>
            <w:tcW w:w="1018" w:type="pct"/>
            <w:tcBorders>
              <w:top w:val="single" w:color="auto" w:sz="4" w:space="0"/>
              <w:left w:val="single" w:color="auto" w:sz="8" w:space="0"/>
              <w:bottom w:val="single" w:color="auto" w:sz="8" w:space="0"/>
              <w:right w:val="single" w:color="auto" w:sz="4" w:space="0"/>
            </w:tcBorders>
            <w:shd w:val="clear" w:color="auto" w:fill="auto"/>
            <w:vAlign w:val="center"/>
          </w:tcPr>
          <w:p w14:paraId="01113453">
            <w:pPr>
              <w:keepNext w:val="0"/>
              <w:keepLines w:val="0"/>
              <w:widowControl w:val="0"/>
              <w:suppressLineNumbers w:val="0"/>
              <w:adjustRightInd w:val="0"/>
              <w:spacing w:before="0" w:beforeAutospacing="0" w:after="0" w:afterAutospacing="0" w:line="320" w:lineRule="exact"/>
              <w:ind w:left="0" w:right="0"/>
              <w:jc w:val="center"/>
              <w:rPr>
                <w:rFonts w:hint="eastAsia" w:ascii="宋体" w:hAnsi="宋体" w:eastAsia="宋体" w:cs="宋体"/>
                <w:sz w:val="21"/>
                <w:szCs w:val="24"/>
                <w:lang w:val="en-US"/>
              </w:rPr>
            </w:pPr>
            <w:r>
              <w:rPr>
                <w:rFonts w:hint="eastAsia" w:ascii="宋体" w:hAnsi="宋体" w:eastAsia="宋体" w:cs="宋体"/>
                <w:kern w:val="2"/>
                <w:sz w:val="21"/>
                <w:szCs w:val="24"/>
                <w:lang w:val="en-US" w:eastAsia="zh-CN" w:bidi="ar"/>
              </w:rPr>
              <w:t>烹调性和滋味</w:t>
            </w:r>
          </w:p>
        </w:tc>
        <w:tc>
          <w:tcPr>
            <w:tcW w:w="3981" w:type="pct"/>
            <w:tcBorders>
              <w:top w:val="single" w:color="auto" w:sz="4" w:space="0"/>
              <w:left w:val="single" w:color="auto" w:sz="4" w:space="0"/>
              <w:bottom w:val="single" w:color="auto" w:sz="8" w:space="0"/>
              <w:right w:val="single" w:color="auto" w:sz="8" w:space="0"/>
            </w:tcBorders>
            <w:shd w:val="clear" w:color="auto" w:fill="auto"/>
            <w:vAlign w:val="center"/>
          </w:tcPr>
          <w:p w14:paraId="6E734997">
            <w:pPr>
              <w:keepNext w:val="0"/>
              <w:keepLines w:val="0"/>
              <w:widowControl w:val="0"/>
              <w:suppressLineNumbers w:val="0"/>
              <w:adjustRightInd w:val="0"/>
              <w:spacing w:before="0" w:beforeAutospacing="0" w:after="0" w:afterAutospacing="0" w:line="320" w:lineRule="exact"/>
              <w:ind w:left="0" w:right="0" w:firstLine="210" w:firstLineChars="100"/>
              <w:jc w:val="left"/>
              <w:rPr>
                <w:rFonts w:hint="eastAsia" w:ascii="宋体" w:hAnsi="宋体" w:eastAsia="宋体" w:cs="宋体"/>
                <w:sz w:val="21"/>
                <w:szCs w:val="24"/>
                <w:lang w:val="en-US"/>
              </w:rPr>
            </w:pPr>
            <w:r>
              <w:rPr>
                <w:rFonts w:hint="eastAsia" w:ascii="宋体" w:hAnsi="宋体" w:eastAsia="宋体" w:cs="宋体"/>
                <w:kern w:val="2"/>
                <w:sz w:val="21"/>
                <w:szCs w:val="24"/>
                <w:lang w:val="en-US" w:eastAsia="zh-CN" w:bidi="ar"/>
              </w:rPr>
              <w:t>腐竹入汤不化，易煮软，久煮不糊。烹饪后，腐竹鲜嫩软滑，韧性好，有劲道</w:t>
            </w:r>
          </w:p>
        </w:tc>
      </w:tr>
    </w:tbl>
    <w:p w14:paraId="4BE85203">
      <w:pPr>
        <w:ind w:firstLine="643" w:firstLineChars="200"/>
        <w:rPr>
          <w:rFonts w:hint="default" w:ascii="仿宋_GB2312" w:hAnsi="宋体" w:eastAsia="仿宋_GB2312"/>
          <w:b/>
          <w:bCs/>
          <w:sz w:val="32"/>
          <w:szCs w:val="32"/>
          <w:lang w:val="en-US" w:eastAsia="zh-CN"/>
        </w:rPr>
      </w:pPr>
      <w:r>
        <w:rPr>
          <w:rFonts w:hint="eastAsia" w:ascii="仿宋_GB2312" w:hAnsi="宋体" w:eastAsia="仿宋_GB2312"/>
          <w:b/>
          <w:bCs/>
          <w:sz w:val="32"/>
          <w:szCs w:val="32"/>
          <w:lang w:val="en-US" w:eastAsia="zh-CN"/>
        </w:rPr>
        <w:t>2、理化指标</w:t>
      </w:r>
    </w:p>
    <w:p w14:paraId="372E4876">
      <w:pPr>
        <w:ind w:firstLine="640" w:firstLineChars="200"/>
        <w:rPr>
          <w:rFonts w:hint="default" w:ascii="仿宋_GB2312" w:hAnsi="宋体" w:eastAsia="仿宋_GB2312"/>
          <w:sz w:val="32"/>
          <w:szCs w:val="32"/>
          <w:lang w:val="en-US" w:eastAsia="zh-CN"/>
        </w:rPr>
      </w:pPr>
      <w:r>
        <w:rPr>
          <w:rFonts w:hint="eastAsia" w:ascii="仿宋_GB2312" w:hAnsi="宋体" w:eastAsia="仿宋_GB2312"/>
          <w:sz w:val="32"/>
          <w:szCs w:val="32"/>
          <w:lang w:val="zh-CN"/>
        </w:rPr>
        <w:t>主要依据GB/T 22106《非发酵豆制品》及腐竹产品相关标准，结合相关代表企业生产实际和销售需要，确定理化指标项目，分别为水分、蛋白质、脂肪。为了确保拟定的理化指标符合实际，能够切实反应钟山红花腐竹的品质和特色，编制组制定抽样方案：</w:t>
      </w:r>
      <w:r>
        <w:rPr>
          <w:rFonts w:hint="eastAsia" w:ascii="仿宋_GB2312" w:hAnsi="宋体" w:eastAsia="仿宋_GB2312"/>
          <w:sz w:val="32"/>
          <w:szCs w:val="32"/>
          <w:lang w:val="en-US" w:eastAsia="zh-CN"/>
        </w:rPr>
        <w:t>选择</w:t>
      </w:r>
      <w:r>
        <w:rPr>
          <w:rFonts w:hint="eastAsia" w:ascii="仿宋_GB2312" w:hAnsi="宋体" w:eastAsia="仿宋_GB2312"/>
          <w:sz w:val="32"/>
          <w:szCs w:val="32"/>
          <w:lang w:val="zh-CN"/>
        </w:rPr>
        <w:t>钟山县行政区域范围内生产的腐竹，以头竹、尾竹划分腐竹等级，每个作坊抽取2个生产批次2个等级腐竹各2根，共8根。抽样的原则是抽取等级中最差的部分。即每个批次从头竹和尾竹的临界点中抽取2根头竹，然后从生产批次尾部抽取最后2根腐竹。</w:t>
      </w:r>
      <w:r>
        <w:rPr>
          <w:rFonts w:hint="eastAsia" w:ascii="仿宋_GB2312" w:hAnsi="宋体" w:eastAsia="仿宋_GB2312"/>
          <w:sz w:val="32"/>
          <w:szCs w:val="32"/>
          <w:lang w:val="en-US" w:eastAsia="zh-CN"/>
        </w:rPr>
        <w:t>并实际抽取16家作坊的</w:t>
      </w:r>
      <w:r>
        <w:rPr>
          <w:rFonts w:hint="eastAsia" w:ascii="仿宋_GB2312" w:hAnsi="宋体" w:eastAsia="仿宋_GB2312"/>
          <w:sz w:val="32"/>
          <w:szCs w:val="32"/>
          <w:lang w:val="zh-CN"/>
        </w:rPr>
        <w:t>头竹和尾竹，</w:t>
      </w:r>
      <w:r>
        <w:rPr>
          <w:rFonts w:hint="eastAsia" w:ascii="仿宋_GB2312" w:hAnsi="宋体" w:eastAsia="仿宋_GB2312"/>
          <w:sz w:val="32"/>
          <w:szCs w:val="32"/>
          <w:lang w:val="en-US" w:eastAsia="zh-CN"/>
        </w:rPr>
        <w:t>共32个批次的样品。广西壮族自治区亚热带作物研究所按照表2的检测方法进行检测。检测结果见表3。</w:t>
      </w:r>
    </w:p>
    <w:p w14:paraId="41BC24D8">
      <w:pPr>
        <w:ind w:firstLine="643" w:firstLineChars="200"/>
        <w:jc w:val="center"/>
        <w:rPr>
          <w:rFonts w:hint="eastAsia" w:ascii="仿宋_GB2312" w:hAnsi="宋体" w:eastAsia="仿宋_GB2312"/>
          <w:b/>
          <w:bCs/>
          <w:sz w:val="32"/>
          <w:szCs w:val="32"/>
          <w:lang w:val="en-US" w:eastAsia="zh-CN"/>
        </w:rPr>
      </w:pPr>
      <w:r>
        <w:rPr>
          <w:rFonts w:hint="eastAsia" w:ascii="仿宋_GB2312" w:hAnsi="宋体" w:eastAsia="仿宋_GB2312"/>
          <w:b/>
          <w:bCs/>
          <w:sz w:val="32"/>
          <w:szCs w:val="32"/>
          <w:lang w:val="en-US" w:eastAsia="zh-CN"/>
        </w:rPr>
        <w:t>表2 检测方案</w:t>
      </w:r>
    </w:p>
    <w:tbl>
      <w:tblPr>
        <w:tblStyle w:val="7"/>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470"/>
        <w:gridCol w:w="2501"/>
        <w:gridCol w:w="5179"/>
        <w:gridCol w:w="1024"/>
      </w:tblGrid>
      <w:tr w14:paraId="3361ED3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619" w:type="pct"/>
            <w:gridSpan w:val="2"/>
            <w:tcBorders>
              <w:top w:val="single" w:color="auto" w:sz="8" w:space="0"/>
              <w:left w:val="single" w:color="auto" w:sz="8" w:space="0"/>
              <w:bottom w:val="single" w:color="auto" w:sz="8" w:space="0"/>
            </w:tcBorders>
            <w:shd w:val="clear" w:color="auto" w:fill="auto"/>
            <w:vAlign w:val="center"/>
          </w:tcPr>
          <w:p w14:paraId="655E22C4">
            <w:pPr>
              <w:keepNext w:val="0"/>
              <w:keepLines w:val="0"/>
              <w:suppressLineNumbers w:val="0"/>
              <w:adjustRightInd w:val="0"/>
              <w:spacing w:before="0" w:beforeAutospacing="0" w:after="0" w:afterAutospacing="0" w:line="240" w:lineRule="auto"/>
              <w:ind w:left="0" w:right="0"/>
              <w:jc w:val="center"/>
              <w:rPr>
                <w:rFonts w:hint="default" w:ascii="仿宋_GB2312" w:hAnsi="Calibri" w:eastAsia="仿宋_GB2312"/>
                <w:szCs w:val="21"/>
              </w:rPr>
            </w:pPr>
            <w:r>
              <w:rPr>
                <w:rFonts w:hint="eastAsia" w:ascii="仿宋_GB2312" w:hAnsi="Calibri" w:eastAsia="仿宋_GB2312"/>
                <w:szCs w:val="21"/>
              </w:rPr>
              <w:t>待检测项目</w:t>
            </w:r>
          </w:p>
        </w:tc>
        <w:tc>
          <w:tcPr>
            <w:tcW w:w="2822" w:type="pct"/>
            <w:tcBorders>
              <w:top w:val="single" w:color="auto" w:sz="8" w:space="0"/>
              <w:bottom w:val="single" w:color="auto" w:sz="8" w:space="0"/>
              <w:right w:val="single" w:color="auto" w:sz="8" w:space="0"/>
            </w:tcBorders>
            <w:shd w:val="clear" w:color="auto" w:fill="auto"/>
            <w:vAlign w:val="center"/>
          </w:tcPr>
          <w:p w14:paraId="67689D28">
            <w:pPr>
              <w:keepNext w:val="0"/>
              <w:keepLines w:val="0"/>
              <w:suppressLineNumbers w:val="0"/>
              <w:adjustRightInd w:val="0"/>
              <w:spacing w:before="0" w:beforeAutospacing="0" w:after="0" w:afterAutospacing="0" w:line="240" w:lineRule="auto"/>
              <w:ind w:left="0" w:right="0"/>
              <w:jc w:val="center"/>
              <w:rPr>
                <w:rFonts w:hint="default" w:ascii="仿宋_GB2312" w:hAnsi="Calibri" w:eastAsia="仿宋_GB2312"/>
                <w:szCs w:val="21"/>
              </w:rPr>
            </w:pPr>
            <w:r>
              <w:rPr>
                <w:rFonts w:hint="eastAsia" w:ascii="仿宋_GB2312" w:hAnsi="Calibri" w:eastAsia="仿宋_GB2312"/>
                <w:szCs w:val="21"/>
              </w:rPr>
              <w:t>检测方法</w:t>
            </w:r>
          </w:p>
        </w:tc>
        <w:tc>
          <w:tcPr>
            <w:tcW w:w="558" w:type="pct"/>
            <w:tcBorders>
              <w:top w:val="single" w:color="auto" w:sz="8" w:space="0"/>
              <w:bottom w:val="single" w:color="auto" w:sz="8" w:space="0"/>
              <w:right w:val="single" w:color="auto" w:sz="8" w:space="0"/>
            </w:tcBorders>
            <w:vAlign w:val="center"/>
          </w:tcPr>
          <w:p w14:paraId="23E08F21">
            <w:pPr>
              <w:keepNext w:val="0"/>
              <w:keepLines w:val="0"/>
              <w:suppressLineNumbers w:val="0"/>
              <w:adjustRightInd w:val="0"/>
              <w:spacing w:before="0" w:beforeAutospacing="0" w:after="0" w:afterAutospacing="0" w:line="240" w:lineRule="auto"/>
              <w:ind w:left="0" w:right="0"/>
              <w:jc w:val="center"/>
              <w:rPr>
                <w:rFonts w:hint="default" w:ascii="仿宋_GB2312" w:hAnsi="Calibri" w:eastAsia="仿宋_GB2312"/>
                <w:szCs w:val="21"/>
              </w:rPr>
            </w:pPr>
            <w:r>
              <w:rPr>
                <w:rFonts w:hint="eastAsia" w:ascii="仿宋_GB2312" w:hAnsi="Calibri" w:eastAsia="仿宋_GB2312"/>
                <w:szCs w:val="21"/>
              </w:rPr>
              <w:t>备注</w:t>
            </w:r>
          </w:p>
        </w:tc>
      </w:tr>
      <w:tr w14:paraId="4F8F72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256" w:type="pct"/>
            <w:vMerge w:val="restart"/>
            <w:tcBorders>
              <w:top w:val="single" w:color="auto" w:sz="8" w:space="0"/>
              <w:left w:val="single" w:color="auto" w:sz="8" w:space="0"/>
            </w:tcBorders>
            <w:shd w:val="clear" w:color="auto" w:fill="auto"/>
            <w:vAlign w:val="center"/>
          </w:tcPr>
          <w:p w14:paraId="4ED5F6C0">
            <w:pPr>
              <w:keepNext w:val="0"/>
              <w:keepLines w:val="0"/>
              <w:suppressLineNumbers w:val="0"/>
              <w:adjustRightInd w:val="0"/>
              <w:spacing w:before="0" w:beforeAutospacing="0" w:after="0" w:afterAutospacing="0" w:line="240" w:lineRule="auto"/>
              <w:ind w:left="0" w:right="0"/>
              <w:jc w:val="center"/>
              <w:rPr>
                <w:rFonts w:hint="default" w:ascii="仿宋_GB2312" w:hAnsi="Calibri" w:eastAsia="仿宋_GB2312"/>
                <w:szCs w:val="21"/>
              </w:rPr>
            </w:pPr>
            <w:r>
              <w:rPr>
                <w:rFonts w:hint="eastAsia" w:ascii="仿宋_GB2312" w:hAnsi="Calibri" w:eastAsia="仿宋_GB2312"/>
                <w:szCs w:val="21"/>
              </w:rPr>
              <w:t>感官</w:t>
            </w:r>
            <w:r>
              <w:rPr>
                <w:rFonts w:hint="default" w:ascii="仿宋_GB2312" w:hAnsi="Calibri" w:eastAsia="仿宋_GB2312"/>
                <w:szCs w:val="21"/>
              </w:rPr>
              <w:t>指标</w:t>
            </w:r>
          </w:p>
        </w:tc>
        <w:tc>
          <w:tcPr>
            <w:tcW w:w="1363" w:type="pct"/>
            <w:tcBorders>
              <w:top w:val="single" w:color="auto" w:sz="8" w:space="0"/>
              <w:bottom w:val="single" w:color="auto" w:sz="8" w:space="0"/>
            </w:tcBorders>
            <w:vAlign w:val="center"/>
          </w:tcPr>
          <w:p w14:paraId="0167FE31">
            <w:pPr>
              <w:keepNext w:val="0"/>
              <w:keepLines w:val="0"/>
              <w:suppressLineNumbers w:val="0"/>
              <w:adjustRightInd w:val="0"/>
              <w:spacing w:before="0" w:beforeAutospacing="0" w:after="0" w:afterAutospacing="0" w:line="240" w:lineRule="auto"/>
              <w:ind w:left="0" w:right="0"/>
              <w:jc w:val="center"/>
              <w:rPr>
                <w:rFonts w:hint="default" w:ascii="仿宋_GB2312" w:hAnsi="Calibri" w:eastAsia="仿宋_GB2312"/>
                <w:szCs w:val="21"/>
              </w:rPr>
            </w:pPr>
            <w:r>
              <w:rPr>
                <w:rFonts w:hint="eastAsia" w:ascii="仿宋_GB2312" w:hAnsi="Calibri" w:eastAsia="仿宋_GB2312"/>
                <w:szCs w:val="21"/>
              </w:rPr>
              <w:t>色泽</w:t>
            </w:r>
          </w:p>
        </w:tc>
        <w:tc>
          <w:tcPr>
            <w:tcW w:w="2822" w:type="pct"/>
            <w:vMerge w:val="restart"/>
            <w:tcBorders>
              <w:top w:val="single" w:color="auto" w:sz="8" w:space="0"/>
              <w:right w:val="single" w:color="auto" w:sz="8" w:space="0"/>
            </w:tcBorders>
            <w:shd w:val="clear" w:color="auto" w:fill="auto"/>
            <w:vAlign w:val="center"/>
          </w:tcPr>
          <w:p w14:paraId="0D8F5A7F">
            <w:pPr>
              <w:keepNext w:val="0"/>
              <w:keepLines w:val="0"/>
              <w:suppressLineNumbers w:val="0"/>
              <w:adjustRightInd w:val="0"/>
              <w:spacing w:before="0" w:beforeAutospacing="0" w:after="0" w:afterAutospacing="0" w:line="240" w:lineRule="auto"/>
              <w:ind w:left="0" w:right="0"/>
              <w:jc w:val="center"/>
              <w:rPr>
                <w:rFonts w:hint="default" w:ascii="仿宋_GB2312" w:hAnsi="Calibri" w:eastAsia="仿宋_GB2312"/>
                <w:szCs w:val="21"/>
              </w:rPr>
            </w:pPr>
            <w:r>
              <w:rPr>
                <w:rFonts w:hint="eastAsia" w:ascii="仿宋_GB2312" w:hAnsi="Calibri" w:eastAsia="仿宋_GB2312"/>
                <w:szCs w:val="21"/>
              </w:rPr>
              <w:t>取适量样品于清洁的白瓷盘中，在自然光下，用目视法检查色泽、形状和杂质（用刀切开），用鼻嗅法检查气味。</w:t>
            </w:r>
          </w:p>
        </w:tc>
        <w:tc>
          <w:tcPr>
            <w:tcW w:w="558" w:type="pct"/>
            <w:tcBorders>
              <w:top w:val="single" w:color="auto" w:sz="8" w:space="0"/>
              <w:right w:val="single" w:color="auto" w:sz="8" w:space="0"/>
            </w:tcBorders>
            <w:vAlign w:val="center"/>
          </w:tcPr>
          <w:p w14:paraId="38ABD394">
            <w:pPr>
              <w:keepNext w:val="0"/>
              <w:keepLines w:val="0"/>
              <w:suppressLineNumbers w:val="0"/>
              <w:adjustRightInd w:val="0"/>
              <w:spacing w:before="0" w:beforeAutospacing="0" w:after="0" w:afterAutospacing="0" w:line="240" w:lineRule="auto"/>
              <w:ind w:left="0" w:right="0"/>
              <w:jc w:val="center"/>
              <w:rPr>
                <w:rFonts w:hint="default" w:ascii="仿宋_GB2312" w:hAnsi="Calibri" w:eastAsia="仿宋_GB2312"/>
                <w:szCs w:val="21"/>
              </w:rPr>
            </w:pPr>
          </w:p>
        </w:tc>
      </w:tr>
      <w:tr w14:paraId="0912AC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256" w:type="pct"/>
            <w:vMerge w:val="continue"/>
            <w:tcBorders>
              <w:left w:val="single" w:color="auto" w:sz="8" w:space="0"/>
            </w:tcBorders>
            <w:shd w:val="clear" w:color="auto" w:fill="auto"/>
            <w:vAlign w:val="center"/>
          </w:tcPr>
          <w:p w14:paraId="37673025">
            <w:pPr>
              <w:keepNext w:val="0"/>
              <w:keepLines w:val="0"/>
              <w:suppressLineNumbers w:val="0"/>
              <w:adjustRightInd w:val="0"/>
              <w:spacing w:before="0" w:beforeAutospacing="0" w:after="0" w:afterAutospacing="0" w:line="240" w:lineRule="auto"/>
              <w:ind w:left="0" w:right="0"/>
              <w:jc w:val="center"/>
              <w:rPr>
                <w:rFonts w:hint="default" w:ascii="仿宋_GB2312" w:hAnsi="Calibri" w:eastAsia="仿宋_GB2312"/>
                <w:szCs w:val="21"/>
              </w:rPr>
            </w:pPr>
          </w:p>
        </w:tc>
        <w:tc>
          <w:tcPr>
            <w:tcW w:w="1363" w:type="pct"/>
            <w:tcBorders>
              <w:top w:val="single" w:color="auto" w:sz="8" w:space="0"/>
              <w:bottom w:val="single" w:color="auto" w:sz="8" w:space="0"/>
            </w:tcBorders>
            <w:vAlign w:val="center"/>
          </w:tcPr>
          <w:p w14:paraId="0CAEC8B2">
            <w:pPr>
              <w:keepNext w:val="0"/>
              <w:keepLines w:val="0"/>
              <w:suppressLineNumbers w:val="0"/>
              <w:adjustRightInd w:val="0"/>
              <w:spacing w:before="0" w:beforeAutospacing="0" w:after="0" w:afterAutospacing="0" w:line="240" w:lineRule="auto"/>
              <w:ind w:left="0" w:right="0"/>
              <w:jc w:val="center"/>
              <w:rPr>
                <w:rFonts w:hint="default" w:ascii="仿宋_GB2312" w:hAnsi="Calibri" w:eastAsia="仿宋_GB2312"/>
                <w:szCs w:val="21"/>
              </w:rPr>
            </w:pPr>
            <w:r>
              <w:rPr>
                <w:rFonts w:hint="eastAsia" w:ascii="仿宋_GB2312" w:hAnsi="Calibri" w:eastAsia="仿宋_GB2312"/>
                <w:szCs w:val="21"/>
              </w:rPr>
              <w:t>形状</w:t>
            </w:r>
          </w:p>
        </w:tc>
        <w:tc>
          <w:tcPr>
            <w:tcW w:w="2822" w:type="pct"/>
            <w:vMerge w:val="continue"/>
            <w:tcBorders>
              <w:right w:val="single" w:color="auto" w:sz="8" w:space="0"/>
            </w:tcBorders>
            <w:shd w:val="clear" w:color="auto" w:fill="auto"/>
            <w:vAlign w:val="center"/>
          </w:tcPr>
          <w:p w14:paraId="2856128E">
            <w:pPr>
              <w:keepNext w:val="0"/>
              <w:keepLines w:val="0"/>
              <w:suppressLineNumbers w:val="0"/>
              <w:adjustRightInd w:val="0"/>
              <w:spacing w:before="0" w:beforeAutospacing="0" w:after="0" w:afterAutospacing="0" w:line="240" w:lineRule="auto"/>
              <w:ind w:left="0" w:right="0"/>
              <w:jc w:val="center"/>
              <w:rPr>
                <w:rFonts w:hint="default" w:ascii="仿宋_GB2312" w:hAnsi="Calibri" w:eastAsia="仿宋_GB2312"/>
                <w:szCs w:val="21"/>
              </w:rPr>
            </w:pPr>
          </w:p>
        </w:tc>
        <w:tc>
          <w:tcPr>
            <w:tcW w:w="558" w:type="pct"/>
            <w:tcBorders>
              <w:right w:val="single" w:color="auto" w:sz="8" w:space="0"/>
            </w:tcBorders>
            <w:vAlign w:val="center"/>
          </w:tcPr>
          <w:p w14:paraId="709D01B8">
            <w:pPr>
              <w:keepNext w:val="0"/>
              <w:keepLines w:val="0"/>
              <w:suppressLineNumbers w:val="0"/>
              <w:adjustRightInd w:val="0"/>
              <w:spacing w:before="0" w:beforeAutospacing="0" w:after="0" w:afterAutospacing="0" w:line="240" w:lineRule="auto"/>
              <w:ind w:left="0" w:right="0"/>
              <w:jc w:val="center"/>
              <w:rPr>
                <w:rFonts w:hint="default" w:ascii="仿宋_GB2312" w:hAnsi="Calibri" w:eastAsia="仿宋_GB2312"/>
                <w:szCs w:val="21"/>
              </w:rPr>
            </w:pPr>
          </w:p>
        </w:tc>
      </w:tr>
      <w:tr w14:paraId="2D321BC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256" w:type="pct"/>
            <w:vMerge w:val="continue"/>
            <w:tcBorders>
              <w:left w:val="single" w:color="auto" w:sz="8" w:space="0"/>
            </w:tcBorders>
            <w:shd w:val="clear" w:color="auto" w:fill="auto"/>
            <w:vAlign w:val="center"/>
          </w:tcPr>
          <w:p w14:paraId="2828F14A">
            <w:pPr>
              <w:keepNext w:val="0"/>
              <w:keepLines w:val="0"/>
              <w:suppressLineNumbers w:val="0"/>
              <w:adjustRightInd w:val="0"/>
              <w:spacing w:before="0" w:beforeAutospacing="0" w:after="0" w:afterAutospacing="0" w:line="240" w:lineRule="auto"/>
              <w:ind w:left="0" w:right="0"/>
              <w:jc w:val="center"/>
              <w:rPr>
                <w:rFonts w:hint="default" w:ascii="仿宋_GB2312" w:hAnsi="Calibri" w:eastAsia="仿宋_GB2312"/>
                <w:szCs w:val="21"/>
              </w:rPr>
            </w:pPr>
          </w:p>
        </w:tc>
        <w:tc>
          <w:tcPr>
            <w:tcW w:w="1363" w:type="pct"/>
            <w:tcBorders>
              <w:top w:val="single" w:color="auto" w:sz="8" w:space="0"/>
              <w:bottom w:val="single" w:color="auto" w:sz="8" w:space="0"/>
            </w:tcBorders>
            <w:vAlign w:val="center"/>
          </w:tcPr>
          <w:p w14:paraId="45BD6179">
            <w:pPr>
              <w:keepNext w:val="0"/>
              <w:keepLines w:val="0"/>
              <w:suppressLineNumbers w:val="0"/>
              <w:adjustRightInd w:val="0"/>
              <w:spacing w:before="0" w:beforeAutospacing="0" w:after="0" w:afterAutospacing="0" w:line="240" w:lineRule="auto"/>
              <w:ind w:left="0" w:right="0"/>
              <w:jc w:val="center"/>
              <w:rPr>
                <w:rFonts w:hint="default" w:ascii="仿宋_GB2312" w:hAnsi="Calibri" w:eastAsia="仿宋_GB2312"/>
                <w:szCs w:val="21"/>
              </w:rPr>
            </w:pPr>
            <w:r>
              <w:rPr>
                <w:rFonts w:hint="eastAsia" w:ascii="仿宋_GB2312" w:hAnsi="Calibri" w:eastAsia="仿宋_GB2312"/>
                <w:szCs w:val="21"/>
              </w:rPr>
              <w:t>气味</w:t>
            </w:r>
          </w:p>
        </w:tc>
        <w:tc>
          <w:tcPr>
            <w:tcW w:w="2822" w:type="pct"/>
            <w:vMerge w:val="continue"/>
            <w:tcBorders>
              <w:right w:val="single" w:color="auto" w:sz="8" w:space="0"/>
            </w:tcBorders>
            <w:shd w:val="clear" w:color="auto" w:fill="auto"/>
            <w:vAlign w:val="center"/>
          </w:tcPr>
          <w:p w14:paraId="0D5144A3">
            <w:pPr>
              <w:keepNext w:val="0"/>
              <w:keepLines w:val="0"/>
              <w:suppressLineNumbers w:val="0"/>
              <w:adjustRightInd w:val="0"/>
              <w:spacing w:before="0" w:beforeAutospacing="0" w:after="0" w:afterAutospacing="0" w:line="240" w:lineRule="auto"/>
              <w:ind w:left="0" w:right="0"/>
              <w:jc w:val="center"/>
              <w:rPr>
                <w:rFonts w:hint="default" w:ascii="仿宋_GB2312" w:hAnsi="Calibri" w:eastAsia="仿宋_GB2312"/>
                <w:szCs w:val="21"/>
              </w:rPr>
            </w:pPr>
          </w:p>
        </w:tc>
        <w:tc>
          <w:tcPr>
            <w:tcW w:w="558" w:type="pct"/>
            <w:tcBorders>
              <w:right w:val="single" w:color="auto" w:sz="8" w:space="0"/>
            </w:tcBorders>
            <w:vAlign w:val="center"/>
          </w:tcPr>
          <w:p w14:paraId="01C2E75A">
            <w:pPr>
              <w:keepNext w:val="0"/>
              <w:keepLines w:val="0"/>
              <w:suppressLineNumbers w:val="0"/>
              <w:adjustRightInd w:val="0"/>
              <w:spacing w:before="0" w:beforeAutospacing="0" w:after="0" w:afterAutospacing="0" w:line="240" w:lineRule="auto"/>
              <w:ind w:left="0" w:right="0"/>
              <w:jc w:val="center"/>
              <w:rPr>
                <w:rFonts w:hint="default" w:ascii="仿宋_GB2312" w:hAnsi="Calibri" w:eastAsia="仿宋_GB2312"/>
                <w:szCs w:val="21"/>
              </w:rPr>
            </w:pPr>
          </w:p>
        </w:tc>
      </w:tr>
      <w:tr w14:paraId="27CF451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256" w:type="pct"/>
            <w:vMerge w:val="continue"/>
            <w:tcBorders>
              <w:left w:val="single" w:color="auto" w:sz="8" w:space="0"/>
            </w:tcBorders>
            <w:shd w:val="clear" w:color="auto" w:fill="auto"/>
            <w:vAlign w:val="center"/>
          </w:tcPr>
          <w:p w14:paraId="03121D59">
            <w:pPr>
              <w:keepNext w:val="0"/>
              <w:keepLines w:val="0"/>
              <w:suppressLineNumbers w:val="0"/>
              <w:adjustRightInd w:val="0"/>
              <w:spacing w:before="0" w:beforeAutospacing="0" w:after="0" w:afterAutospacing="0" w:line="240" w:lineRule="auto"/>
              <w:ind w:left="0" w:right="0"/>
              <w:jc w:val="center"/>
              <w:rPr>
                <w:rFonts w:hint="default" w:ascii="仿宋_GB2312" w:hAnsi="Calibri" w:eastAsia="仿宋_GB2312"/>
                <w:szCs w:val="21"/>
              </w:rPr>
            </w:pPr>
          </w:p>
        </w:tc>
        <w:tc>
          <w:tcPr>
            <w:tcW w:w="1363" w:type="pct"/>
            <w:tcBorders>
              <w:top w:val="single" w:color="auto" w:sz="8" w:space="0"/>
              <w:bottom w:val="single" w:color="auto" w:sz="8" w:space="0"/>
            </w:tcBorders>
            <w:vAlign w:val="center"/>
          </w:tcPr>
          <w:p w14:paraId="68FC9CD9">
            <w:pPr>
              <w:keepNext w:val="0"/>
              <w:keepLines w:val="0"/>
              <w:suppressLineNumbers w:val="0"/>
              <w:adjustRightInd w:val="0"/>
              <w:spacing w:before="0" w:beforeAutospacing="0" w:after="0" w:afterAutospacing="0" w:line="240" w:lineRule="auto"/>
              <w:ind w:left="0" w:right="0"/>
              <w:jc w:val="center"/>
              <w:rPr>
                <w:rFonts w:hint="default" w:ascii="仿宋_GB2312" w:hAnsi="Calibri" w:eastAsia="仿宋_GB2312"/>
                <w:szCs w:val="21"/>
              </w:rPr>
            </w:pPr>
            <w:r>
              <w:rPr>
                <w:rFonts w:hint="eastAsia" w:ascii="仿宋_GB2312" w:hAnsi="Calibri" w:eastAsia="仿宋_GB2312"/>
                <w:szCs w:val="21"/>
              </w:rPr>
              <w:t>杂质</w:t>
            </w:r>
          </w:p>
        </w:tc>
        <w:tc>
          <w:tcPr>
            <w:tcW w:w="2822" w:type="pct"/>
            <w:vMerge w:val="continue"/>
            <w:tcBorders>
              <w:right w:val="single" w:color="auto" w:sz="8" w:space="0"/>
            </w:tcBorders>
            <w:shd w:val="clear" w:color="auto" w:fill="auto"/>
            <w:vAlign w:val="center"/>
          </w:tcPr>
          <w:p w14:paraId="3E1A0F8B">
            <w:pPr>
              <w:keepNext w:val="0"/>
              <w:keepLines w:val="0"/>
              <w:suppressLineNumbers w:val="0"/>
              <w:adjustRightInd w:val="0"/>
              <w:spacing w:before="0" w:beforeAutospacing="0" w:after="0" w:afterAutospacing="0" w:line="240" w:lineRule="auto"/>
              <w:ind w:left="0" w:right="0"/>
              <w:jc w:val="center"/>
              <w:rPr>
                <w:rFonts w:hint="default" w:ascii="仿宋_GB2312" w:hAnsi="Calibri" w:eastAsia="仿宋_GB2312"/>
                <w:szCs w:val="21"/>
              </w:rPr>
            </w:pPr>
          </w:p>
        </w:tc>
        <w:tc>
          <w:tcPr>
            <w:tcW w:w="558" w:type="pct"/>
            <w:tcBorders>
              <w:right w:val="single" w:color="auto" w:sz="8" w:space="0"/>
            </w:tcBorders>
            <w:vAlign w:val="center"/>
          </w:tcPr>
          <w:p w14:paraId="08D328C2">
            <w:pPr>
              <w:keepNext w:val="0"/>
              <w:keepLines w:val="0"/>
              <w:suppressLineNumbers w:val="0"/>
              <w:adjustRightInd w:val="0"/>
              <w:spacing w:before="0" w:beforeAutospacing="0" w:after="0" w:afterAutospacing="0" w:line="240" w:lineRule="auto"/>
              <w:ind w:left="0" w:right="0"/>
              <w:jc w:val="center"/>
              <w:rPr>
                <w:rFonts w:hint="default" w:ascii="仿宋_GB2312" w:hAnsi="Calibri" w:eastAsia="仿宋_GB2312"/>
                <w:szCs w:val="21"/>
              </w:rPr>
            </w:pPr>
          </w:p>
        </w:tc>
      </w:tr>
      <w:tr w14:paraId="0662289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256" w:type="pct"/>
            <w:vMerge w:val="restart"/>
            <w:tcBorders>
              <w:left w:val="single" w:color="auto" w:sz="8" w:space="0"/>
            </w:tcBorders>
            <w:shd w:val="clear" w:color="auto" w:fill="auto"/>
            <w:vAlign w:val="center"/>
          </w:tcPr>
          <w:p w14:paraId="272667A6">
            <w:pPr>
              <w:keepNext w:val="0"/>
              <w:keepLines w:val="0"/>
              <w:suppressLineNumbers w:val="0"/>
              <w:adjustRightInd w:val="0"/>
              <w:spacing w:before="0" w:beforeAutospacing="0" w:after="0" w:afterAutospacing="0" w:line="240" w:lineRule="auto"/>
              <w:ind w:left="0" w:right="0"/>
              <w:jc w:val="center"/>
              <w:rPr>
                <w:rFonts w:hint="default" w:ascii="仿宋_GB2312" w:hAnsi="Calibri" w:eastAsia="仿宋_GB2312"/>
                <w:szCs w:val="21"/>
              </w:rPr>
            </w:pPr>
            <w:r>
              <w:rPr>
                <w:rFonts w:hint="eastAsia" w:ascii="仿宋_GB2312" w:hAnsi="Calibri" w:eastAsia="仿宋_GB2312"/>
                <w:szCs w:val="21"/>
              </w:rPr>
              <w:t>理化指标</w:t>
            </w:r>
          </w:p>
        </w:tc>
        <w:tc>
          <w:tcPr>
            <w:tcW w:w="1363" w:type="pct"/>
            <w:tcBorders>
              <w:top w:val="single" w:color="auto" w:sz="8" w:space="0"/>
              <w:bottom w:val="single" w:color="auto" w:sz="8" w:space="0"/>
            </w:tcBorders>
            <w:vAlign w:val="center"/>
          </w:tcPr>
          <w:p w14:paraId="07630946">
            <w:pPr>
              <w:keepNext w:val="0"/>
              <w:keepLines w:val="0"/>
              <w:suppressLineNumbers w:val="0"/>
              <w:adjustRightInd w:val="0"/>
              <w:spacing w:before="0" w:beforeAutospacing="0" w:after="0" w:afterAutospacing="0" w:line="240" w:lineRule="auto"/>
              <w:ind w:left="0" w:right="0"/>
              <w:jc w:val="center"/>
              <w:rPr>
                <w:rFonts w:hint="default" w:ascii="仿宋_GB2312" w:hAnsi="Calibri" w:eastAsia="仿宋_GB2312"/>
                <w:szCs w:val="21"/>
              </w:rPr>
            </w:pPr>
            <w:r>
              <w:rPr>
                <w:rFonts w:hint="eastAsia" w:ascii="仿宋_GB2312" w:hAnsi="Calibri" w:eastAsia="仿宋_GB2312"/>
                <w:szCs w:val="21"/>
              </w:rPr>
              <w:t>水分/（g/100g）</w:t>
            </w:r>
          </w:p>
        </w:tc>
        <w:tc>
          <w:tcPr>
            <w:tcW w:w="2822" w:type="pct"/>
            <w:tcBorders>
              <w:top w:val="single" w:color="auto" w:sz="8" w:space="0"/>
              <w:bottom w:val="single" w:color="auto" w:sz="8" w:space="0"/>
              <w:right w:val="single" w:color="auto" w:sz="8" w:space="0"/>
            </w:tcBorders>
            <w:shd w:val="clear" w:color="auto" w:fill="auto"/>
            <w:vAlign w:val="center"/>
          </w:tcPr>
          <w:p w14:paraId="7D677E38">
            <w:pPr>
              <w:keepNext w:val="0"/>
              <w:keepLines w:val="0"/>
              <w:suppressLineNumbers w:val="0"/>
              <w:adjustRightInd w:val="0"/>
              <w:spacing w:before="0" w:beforeAutospacing="0" w:after="0" w:afterAutospacing="0" w:line="240" w:lineRule="auto"/>
              <w:ind w:left="0" w:right="0"/>
              <w:jc w:val="center"/>
              <w:rPr>
                <w:rFonts w:hint="default" w:ascii="仿宋_GB2312" w:hAnsi="Calibri" w:eastAsia="仿宋_GB2312"/>
                <w:szCs w:val="21"/>
              </w:rPr>
            </w:pPr>
            <w:r>
              <w:rPr>
                <w:rFonts w:hint="eastAsia" w:ascii="仿宋_GB2312" w:hAnsi="Calibri" w:eastAsia="仿宋_GB2312"/>
                <w:szCs w:val="21"/>
              </w:rPr>
              <w:t>按GB</w:t>
            </w:r>
            <w:r>
              <w:rPr>
                <w:rFonts w:hint="default" w:ascii="仿宋_GB2312" w:hAnsi="Calibri" w:eastAsia="仿宋_GB2312"/>
                <w:szCs w:val="21"/>
              </w:rPr>
              <w:t xml:space="preserve"> </w:t>
            </w:r>
            <w:r>
              <w:rPr>
                <w:rFonts w:hint="eastAsia" w:ascii="仿宋_GB2312" w:hAnsi="Calibri" w:eastAsia="仿宋_GB2312"/>
                <w:szCs w:val="21"/>
              </w:rPr>
              <w:t xml:space="preserve">5009.3-2016《食品安全国家标准 </w:t>
            </w:r>
            <w:r>
              <w:rPr>
                <w:rFonts w:hint="default" w:ascii="仿宋_GB2312" w:hAnsi="Calibri" w:eastAsia="仿宋_GB2312"/>
                <w:szCs w:val="21"/>
              </w:rPr>
              <w:t xml:space="preserve"> </w:t>
            </w:r>
            <w:r>
              <w:rPr>
                <w:rFonts w:hint="eastAsia" w:ascii="仿宋_GB2312" w:hAnsi="Calibri" w:eastAsia="仿宋_GB2312"/>
                <w:szCs w:val="21"/>
              </w:rPr>
              <w:t>食品中水分的测定》中“第一法 直接干燥法”测定</w:t>
            </w:r>
          </w:p>
        </w:tc>
        <w:tc>
          <w:tcPr>
            <w:tcW w:w="558" w:type="pct"/>
            <w:tcBorders>
              <w:top w:val="single" w:color="auto" w:sz="8" w:space="0"/>
              <w:bottom w:val="single" w:color="auto" w:sz="8" w:space="0"/>
              <w:right w:val="single" w:color="auto" w:sz="8" w:space="0"/>
            </w:tcBorders>
            <w:vAlign w:val="center"/>
          </w:tcPr>
          <w:p w14:paraId="19808657">
            <w:pPr>
              <w:keepNext w:val="0"/>
              <w:keepLines w:val="0"/>
              <w:suppressLineNumbers w:val="0"/>
              <w:adjustRightInd w:val="0"/>
              <w:spacing w:before="0" w:beforeAutospacing="0" w:after="0" w:afterAutospacing="0" w:line="240" w:lineRule="auto"/>
              <w:ind w:left="0" w:right="0"/>
              <w:jc w:val="center"/>
              <w:rPr>
                <w:rFonts w:hint="default" w:ascii="仿宋_GB2312" w:hAnsi="Calibri" w:eastAsia="仿宋_GB2312"/>
                <w:szCs w:val="21"/>
              </w:rPr>
            </w:pPr>
          </w:p>
        </w:tc>
      </w:tr>
      <w:tr w14:paraId="0AA6219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256" w:type="pct"/>
            <w:vMerge w:val="continue"/>
            <w:tcBorders>
              <w:left w:val="single" w:color="auto" w:sz="8" w:space="0"/>
            </w:tcBorders>
            <w:shd w:val="clear" w:color="auto" w:fill="auto"/>
            <w:vAlign w:val="center"/>
          </w:tcPr>
          <w:p w14:paraId="22C13101">
            <w:pPr>
              <w:keepNext w:val="0"/>
              <w:keepLines w:val="0"/>
              <w:suppressLineNumbers w:val="0"/>
              <w:adjustRightInd w:val="0"/>
              <w:spacing w:before="0" w:beforeAutospacing="0" w:after="0" w:afterAutospacing="0" w:line="240" w:lineRule="auto"/>
              <w:ind w:left="0" w:right="0"/>
              <w:jc w:val="center"/>
              <w:rPr>
                <w:rFonts w:hint="default" w:ascii="仿宋_GB2312" w:hAnsi="Calibri" w:eastAsia="仿宋_GB2312"/>
                <w:szCs w:val="21"/>
              </w:rPr>
            </w:pPr>
          </w:p>
        </w:tc>
        <w:tc>
          <w:tcPr>
            <w:tcW w:w="1363" w:type="pct"/>
            <w:tcBorders>
              <w:top w:val="single" w:color="auto" w:sz="8" w:space="0"/>
              <w:bottom w:val="single" w:color="auto" w:sz="8" w:space="0"/>
            </w:tcBorders>
            <w:vAlign w:val="center"/>
          </w:tcPr>
          <w:p w14:paraId="6881B705">
            <w:pPr>
              <w:keepNext w:val="0"/>
              <w:keepLines w:val="0"/>
              <w:suppressLineNumbers w:val="0"/>
              <w:adjustRightInd w:val="0"/>
              <w:spacing w:before="0" w:beforeAutospacing="0" w:after="0" w:afterAutospacing="0" w:line="240" w:lineRule="auto"/>
              <w:ind w:left="0" w:right="0"/>
              <w:jc w:val="center"/>
              <w:rPr>
                <w:rFonts w:hint="default" w:ascii="仿宋_GB2312" w:hAnsi="Calibri" w:eastAsia="仿宋_GB2312"/>
                <w:szCs w:val="21"/>
              </w:rPr>
            </w:pPr>
            <w:r>
              <w:rPr>
                <w:rFonts w:hint="eastAsia" w:ascii="仿宋_GB2312" w:hAnsi="Calibri" w:eastAsia="仿宋_GB2312"/>
                <w:szCs w:val="21"/>
              </w:rPr>
              <w:t>蛋白质/（g/100g）</w:t>
            </w:r>
          </w:p>
        </w:tc>
        <w:tc>
          <w:tcPr>
            <w:tcW w:w="2822" w:type="pct"/>
            <w:tcBorders>
              <w:top w:val="single" w:color="auto" w:sz="8" w:space="0"/>
              <w:bottom w:val="single" w:color="auto" w:sz="8" w:space="0"/>
              <w:right w:val="single" w:color="auto" w:sz="8" w:space="0"/>
            </w:tcBorders>
            <w:shd w:val="clear" w:color="auto" w:fill="auto"/>
            <w:vAlign w:val="center"/>
          </w:tcPr>
          <w:p w14:paraId="53573BD8">
            <w:pPr>
              <w:keepNext w:val="0"/>
              <w:keepLines w:val="0"/>
              <w:suppressLineNumbers w:val="0"/>
              <w:adjustRightInd w:val="0"/>
              <w:spacing w:before="0" w:beforeAutospacing="0" w:after="0" w:afterAutospacing="0" w:line="240" w:lineRule="auto"/>
              <w:ind w:left="0" w:right="0"/>
              <w:jc w:val="center"/>
              <w:rPr>
                <w:rFonts w:hint="default" w:ascii="仿宋_GB2312" w:hAnsi="Calibri" w:eastAsia="仿宋_GB2312"/>
                <w:szCs w:val="21"/>
              </w:rPr>
            </w:pPr>
            <w:r>
              <w:rPr>
                <w:rFonts w:hint="eastAsia" w:ascii="仿宋_GB2312" w:hAnsi="Calibri" w:eastAsia="仿宋_GB2312"/>
                <w:szCs w:val="21"/>
              </w:rPr>
              <w:t>按GB 5009.5《食品安全国家标准  食品中蛋白质的测定》测定</w:t>
            </w:r>
          </w:p>
        </w:tc>
        <w:tc>
          <w:tcPr>
            <w:tcW w:w="558" w:type="pct"/>
            <w:tcBorders>
              <w:top w:val="single" w:color="auto" w:sz="8" w:space="0"/>
              <w:bottom w:val="single" w:color="auto" w:sz="8" w:space="0"/>
              <w:right w:val="single" w:color="auto" w:sz="8" w:space="0"/>
            </w:tcBorders>
            <w:vAlign w:val="center"/>
          </w:tcPr>
          <w:p w14:paraId="549F9F11">
            <w:pPr>
              <w:keepNext w:val="0"/>
              <w:keepLines w:val="0"/>
              <w:suppressLineNumbers w:val="0"/>
              <w:adjustRightInd w:val="0"/>
              <w:spacing w:before="0" w:beforeAutospacing="0" w:after="0" w:afterAutospacing="0" w:line="240" w:lineRule="auto"/>
              <w:ind w:left="0" w:right="0"/>
              <w:jc w:val="center"/>
              <w:rPr>
                <w:rFonts w:hint="default" w:ascii="仿宋_GB2312" w:hAnsi="Calibri" w:eastAsia="仿宋_GB2312"/>
                <w:szCs w:val="21"/>
              </w:rPr>
            </w:pPr>
          </w:p>
        </w:tc>
      </w:tr>
      <w:tr w14:paraId="640DCF9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256" w:type="pct"/>
            <w:vMerge w:val="continue"/>
            <w:tcBorders>
              <w:left w:val="single" w:color="auto" w:sz="8" w:space="0"/>
            </w:tcBorders>
            <w:shd w:val="clear" w:color="auto" w:fill="auto"/>
            <w:vAlign w:val="center"/>
          </w:tcPr>
          <w:p w14:paraId="7EBC51F7">
            <w:pPr>
              <w:keepNext w:val="0"/>
              <w:keepLines w:val="0"/>
              <w:suppressLineNumbers w:val="0"/>
              <w:adjustRightInd w:val="0"/>
              <w:spacing w:before="0" w:beforeAutospacing="0" w:after="0" w:afterAutospacing="0" w:line="240" w:lineRule="auto"/>
              <w:ind w:left="0" w:right="0"/>
              <w:jc w:val="center"/>
              <w:rPr>
                <w:rFonts w:hint="default" w:ascii="仿宋_GB2312" w:hAnsi="Calibri" w:eastAsia="仿宋_GB2312"/>
                <w:szCs w:val="21"/>
              </w:rPr>
            </w:pPr>
          </w:p>
        </w:tc>
        <w:tc>
          <w:tcPr>
            <w:tcW w:w="1363" w:type="pct"/>
            <w:tcBorders>
              <w:top w:val="single" w:color="auto" w:sz="8" w:space="0"/>
              <w:bottom w:val="single" w:color="auto" w:sz="8" w:space="0"/>
            </w:tcBorders>
            <w:vAlign w:val="center"/>
          </w:tcPr>
          <w:p w14:paraId="19A16F83">
            <w:pPr>
              <w:keepNext w:val="0"/>
              <w:keepLines w:val="0"/>
              <w:suppressLineNumbers w:val="0"/>
              <w:adjustRightInd w:val="0"/>
              <w:spacing w:before="0" w:beforeAutospacing="0" w:after="0" w:afterAutospacing="0" w:line="240" w:lineRule="auto"/>
              <w:ind w:left="0" w:right="0"/>
              <w:jc w:val="center"/>
              <w:rPr>
                <w:rFonts w:hint="default" w:ascii="仿宋_GB2312" w:hAnsi="Calibri" w:eastAsia="仿宋_GB2312"/>
                <w:szCs w:val="21"/>
              </w:rPr>
            </w:pPr>
            <w:r>
              <w:rPr>
                <w:rFonts w:hint="eastAsia" w:ascii="仿宋_GB2312" w:hAnsi="Calibri" w:eastAsia="仿宋_GB2312"/>
                <w:szCs w:val="21"/>
              </w:rPr>
              <w:t>脂肪/（g/100g）</w:t>
            </w:r>
          </w:p>
        </w:tc>
        <w:tc>
          <w:tcPr>
            <w:tcW w:w="2822" w:type="pct"/>
            <w:tcBorders>
              <w:top w:val="single" w:color="auto" w:sz="8" w:space="0"/>
              <w:bottom w:val="single" w:color="auto" w:sz="8" w:space="0"/>
              <w:right w:val="single" w:color="auto" w:sz="8" w:space="0"/>
            </w:tcBorders>
            <w:shd w:val="clear" w:color="auto" w:fill="auto"/>
            <w:vAlign w:val="center"/>
          </w:tcPr>
          <w:p w14:paraId="613FB4F4">
            <w:pPr>
              <w:keepNext w:val="0"/>
              <w:keepLines w:val="0"/>
              <w:suppressLineNumbers w:val="0"/>
              <w:adjustRightInd w:val="0"/>
              <w:spacing w:before="0" w:beforeAutospacing="0" w:after="0" w:afterAutospacing="0" w:line="240" w:lineRule="auto"/>
              <w:ind w:left="0" w:right="0"/>
              <w:jc w:val="center"/>
              <w:rPr>
                <w:rFonts w:hint="default" w:ascii="仿宋_GB2312" w:hAnsi="Calibri" w:eastAsia="仿宋_GB2312"/>
                <w:szCs w:val="21"/>
              </w:rPr>
            </w:pPr>
            <w:r>
              <w:rPr>
                <w:rFonts w:hint="eastAsia" w:ascii="仿宋_GB2312" w:hAnsi="Calibri" w:eastAsia="仿宋_GB2312"/>
                <w:szCs w:val="21"/>
              </w:rPr>
              <w:t>按GB 5009.6-2016《食品安全国家标准  食品中脂肪的测定》中</w:t>
            </w:r>
            <w:r>
              <w:rPr>
                <w:rFonts w:hint="default" w:ascii="仿宋_GB2312" w:hAnsi="Calibri" w:eastAsia="仿宋_GB2312"/>
                <w:szCs w:val="21"/>
              </w:rPr>
              <w:t>“</w:t>
            </w:r>
            <w:r>
              <w:rPr>
                <w:rFonts w:hint="eastAsia" w:ascii="仿宋_GB2312" w:hAnsi="Calibri" w:eastAsia="仿宋_GB2312"/>
                <w:szCs w:val="21"/>
              </w:rPr>
              <w:t>第二</w:t>
            </w:r>
            <w:r>
              <w:rPr>
                <w:rFonts w:hint="default" w:ascii="仿宋_GB2312" w:hAnsi="Calibri" w:eastAsia="仿宋_GB2312"/>
                <w:szCs w:val="21"/>
              </w:rPr>
              <w:t>法</w:t>
            </w:r>
            <w:r>
              <w:rPr>
                <w:rFonts w:hint="eastAsia" w:ascii="仿宋_GB2312" w:hAnsi="Calibri" w:eastAsia="仿宋_GB2312"/>
                <w:szCs w:val="21"/>
              </w:rPr>
              <w:t xml:space="preserve"> 酸水解</w:t>
            </w:r>
            <w:r>
              <w:rPr>
                <w:rFonts w:hint="default" w:ascii="仿宋_GB2312" w:hAnsi="Calibri" w:eastAsia="仿宋_GB2312"/>
                <w:szCs w:val="21"/>
              </w:rPr>
              <w:t>法”</w:t>
            </w:r>
            <w:r>
              <w:rPr>
                <w:rFonts w:hint="eastAsia" w:ascii="仿宋_GB2312" w:hAnsi="Calibri" w:eastAsia="仿宋_GB2312"/>
                <w:szCs w:val="21"/>
              </w:rPr>
              <w:t>测定</w:t>
            </w:r>
          </w:p>
        </w:tc>
        <w:tc>
          <w:tcPr>
            <w:tcW w:w="558" w:type="pct"/>
            <w:tcBorders>
              <w:top w:val="single" w:color="auto" w:sz="8" w:space="0"/>
              <w:bottom w:val="single" w:color="auto" w:sz="8" w:space="0"/>
              <w:right w:val="single" w:color="auto" w:sz="8" w:space="0"/>
            </w:tcBorders>
            <w:vAlign w:val="center"/>
          </w:tcPr>
          <w:p w14:paraId="2834F777">
            <w:pPr>
              <w:keepNext w:val="0"/>
              <w:keepLines w:val="0"/>
              <w:suppressLineNumbers w:val="0"/>
              <w:adjustRightInd w:val="0"/>
              <w:spacing w:before="0" w:beforeAutospacing="0" w:after="0" w:afterAutospacing="0" w:line="240" w:lineRule="auto"/>
              <w:ind w:left="0" w:right="0"/>
              <w:jc w:val="center"/>
              <w:rPr>
                <w:rFonts w:hint="default" w:ascii="仿宋_GB2312" w:hAnsi="Calibri" w:eastAsia="仿宋_GB2312"/>
                <w:szCs w:val="21"/>
              </w:rPr>
            </w:pPr>
          </w:p>
        </w:tc>
      </w:tr>
    </w:tbl>
    <w:p w14:paraId="7F654350">
      <w:pPr>
        <w:ind w:firstLine="640" w:firstLineChars="200"/>
        <w:rPr>
          <w:rFonts w:hint="default" w:ascii="仿宋_GB2312" w:hAnsi="宋体" w:eastAsia="仿宋_GB2312"/>
          <w:sz w:val="32"/>
          <w:szCs w:val="32"/>
          <w:lang w:val="en-US" w:eastAsia="zh-CN"/>
        </w:rPr>
      </w:pPr>
    </w:p>
    <w:p w14:paraId="4A39C109">
      <w:pPr>
        <w:ind w:firstLine="643" w:firstLineChars="200"/>
        <w:jc w:val="center"/>
        <w:rPr>
          <w:rFonts w:hint="default" w:ascii="仿宋_GB2312" w:hAnsi="宋体" w:eastAsia="仿宋_GB2312"/>
          <w:sz w:val="32"/>
          <w:szCs w:val="32"/>
          <w:lang w:val="en-US" w:eastAsia="zh-CN"/>
        </w:rPr>
      </w:pPr>
      <w:r>
        <w:rPr>
          <w:rFonts w:hint="eastAsia" w:ascii="仿宋_GB2312" w:hAnsi="宋体" w:eastAsia="仿宋_GB2312"/>
          <w:b/>
          <w:bCs/>
          <w:sz w:val="32"/>
          <w:szCs w:val="32"/>
          <w:lang w:val="en-US" w:eastAsia="zh-CN"/>
        </w:rPr>
        <w:t>表3 检测结果</w:t>
      </w:r>
    </w:p>
    <w:tbl>
      <w:tblPr>
        <w:tblStyle w:val="7"/>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501"/>
        <w:gridCol w:w="1503"/>
        <w:gridCol w:w="2055"/>
        <w:gridCol w:w="2055"/>
        <w:gridCol w:w="2056"/>
      </w:tblGrid>
      <w:tr w14:paraId="727925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1" w:hRule="atLeast"/>
        </w:trPr>
        <w:tc>
          <w:tcPr>
            <w:tcW w:w="8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75A8CC">
            <w:pPr>
              <w:keepNext w:val="0"/>
              <w:keepLines w:val="0"/>
              <w:widowControl/>
              <w:suppressLineNumbers w:val="0"/>
              <w:jc w:val="center"/>
              <w:textAlignment w:val="center"/>
              <w:rPr>
                <w:rFonts w:ascii="楷体_GB2312" w:hAnsi="宋体" w:eastAsia="楷体_GB2312" w:cs="楷体_GB2312"/>
                <w:b/>
                <w:bCs/>
                <w:i w:val="0"/>
                <w:iCs w:val="0"/>
                <w:color w:val="000000"/>
                <w:sz w:val="24"/>
                <w:szCs w:val="24"/>
                <w:u w:val="none"/>
              </w:rPr>
            </w:pPr>
            <w:r>
              <w:rPr>
                <w:rFonts w:hint="eastAsia" w:ascii="楷体_GB2312" w:hAnsi="宋体" w:eastAsia="楷体_GB2312" w:cs="楷体_GB2312"/>
                <w:b/>
                <w:bCs/>
                <w:i w:val="0"/>
                <w:iCs w:val="0"/>
                <w:color w:val="000000"/>
                <w:kern w:val="0"/>
                <w:sz w:val="24"/>
                <w:szCs w:val="24"/>
                <w:u w:val="none"/>
                <w:lang w:val="en-US" w:eastAsia="zh-CN" w:bidi="ar"/>
              </w:rPr>
              <w:t>编号</w:t>
            </w:r>
          </w:p>
        </w:tc>
        <w:tc>
          <w:tcPr>
            <w:tcW w:w="8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4F9D00">
            <w:pPr>
              <w:keepNext w:val="0"/>
              <w:keepLines w:val="0"/>
              <w:widowControl/>
              <w:suppressLineNumbers w:val="0"/>
              <w:jc w:val="center"/>
              <w:textAlignment w:val="center"/>
              <w:rPr>
                <w:rFonts w:hint="eastAsia" w:ascii="楷体_GB2312" w:hAnsi="宋体" w:eastAsia="楷体_GB2312" w:cs="楷体_GB2312"/>
                <w:b/>
                <w:bCs/>
                <w:i w:val="0"/>
                <w:iCs w:val="0"/>
                <w:color w:val="000000"/>
                <w:sz w:val="24"/>
                <w:szCs w:val="24"/>
                <w:u w:val="none"/>
              </w:rPr>
            </w:pPr>
            <w:r>
              <w:rPr>
                <w:rFonts w:hint="eastAsia" w:ascii="楷体_GB2312" w:hAnsi="宋体" w:eastAsia="楷体_GB2312" w:cs="楷体_GB2312"/>
                <w:b/>
                <w:bCs/>
                <w:i w:val="0"/>
                <w:iCs w:val="0"/>
                <w:color w:val="000000"/>
                <w:kern w:val="0"/>
                <w:sz w:val="24"/>
                <w:szCs w:val="24"/>
                <w:u w:val="none"/>
                <w:lang w:val="en-US" w:eastAsia="zh-CN" w:bidi="ar"/>
              </w:rPr>
              <w:t>产品等级</w:t>
            </w:r>
          </w:p>
        </w:tc>
        <w:tc>
          <w:tcPr>
            <w:tcW w:w="11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933808">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脂肪含量</w:t>
            </w:r>
            <w:r>
              <w:rPr>
                <w:rFonts w:hint="eastAsia" w:ascii="宋体" w:hAnsi="宋体" w:eastAsia="宋体" w:cs="宋体"/>
                <w:b/>
                <w:bCs/>
                <w:i w:val="0"/>
                <w:iCs w:val="0"/>
                <w:color w:val="000000"/>
                <w:kern w:val="0"/>
                <w:sz w:val="22"/>
                <w:szCs w:val="22"/>
                <w:u w:val="none"/>
                <w:lang w:val="en-US" w:eastAsia="zh-CN" w:bidi="ar"/>
              </w:rPr>
              <w:br w:type="textWrapping"/>
            </w:r>
            <w:r>
              <w:rPr>
                <w:rFonts w:hint="eastAsia" w:ascii="宋体" w:hAnsi="宋体" w:eastAsia="宋体" w:cs="宋体"/>
                <w:b/>
                <w:bCs/>
                <w:i w:val="0"/>
                <w:iCs w:val="0"/>
                <w:color w:val="000000"/>
                <w:kern w:val="0"/>
                <w:sz w:val="22"/>
                <w:szCs w:val="22"/>
                <w:u w:val="none"/>
                <w:lang w:val="en-US" w:eastAsia="zh-CN" w:bidi="ar"/>
              </w:rPr>
              <w:t>（%）</w:t>
            </w:r>
          </w:p>
        </w:tc>
        <w:tc>
          <w:tcPr>
            <w:tcW w:w="11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FF6256">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水分含量</w:t>
            </w:r>
            <w:r>
              <w:rPr>
                <w:rFonts w:hint="eastAsia" w:ascii="宋体" w:hAnsi="宋体" w:eastAsia="宋体" w:cs="宋体"/>
                <w:b/>
                <w:bCs/>
                <w:i w:val="0"/>
                <w:iCs w:val="0"/>
                <w:color w:val="000000"/>
                <w:kern w:val="0"/>
                <w:sz w:val="24"/>
                <w:szCs w:val="24"/>
                <w:u w:val="none"/>
                <w:lang w:val="en-US" w:eastAsia="zh-CN" w:bidi="ar"/>
              </w:rPr>
              <w:br w:type="textWrapping"/>
            </w:r>
            <w:r>
              <w:rPr>
                <w:rFonts w:hint="eastAsia" w:ascii="宋体" w:hAnsi="宋体" w:eastAsia="宋体" w:cs="宋体"/>
                <w:b/>
                <w:bCs/>
                <w:i w:val="0"/>
                <w:iCs w:val="0"/>
                <w:color w:val="000000"/>
                <w:kern w:val="0"/>
                <w:sz w:val="24"/>
                <w:szCs w:val="24"/>
                <w:u w:val="none"/>
                <w:lang w:val="en-US" w:eastAsia="zh-CN" w:bidi="ar"/>
              </w:rPr>
              <w:t>(g/100g)</w:t>
            </w:r>
          </w:p>
        </w:tc>
        <w:tc>
          <w:tcPr>
            <w:tcW w:w="11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EDF925">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蛋白质</w:t>
            </w:r>
            <w:r>
              <w:rPr>
                <w:rFonts w:hint="eastAsia" w:ascii="宋体" w:hAnsi="宋体" w:eastAsia="宋体" w:cs="宋体"/>
                <w:b/>
                <w:bCs/>
                <w:i w:val="0"/>
                <w:iCs w:val="0"/>
                <w:color w:val="000000"/>
                <w:kern w:val="0"/>
                <w:sz w:val="22"/>
                <w:szCs w:val="22"/>
                <w:u w:val="none"/>
                <w:lang w:val="en-US" w:eastAsia="zh-CN" w:bidi="ar"/>
              </w:rPr>
              <w:br w:type="textWrapping"/>
            </w:r>
            <w:r>
              <w:rPr>
                <w:rFonts w:hint="eastAsia" w:ascii="宋体" w:hAnsi="宋体" w:eastAsia="宋体" w:cs="宋体"/>
                <w:b/>
                <w:bCs/>
                <w:i w:val="0"/>
                <w:iCs w:val="0"/>
                <w:color w:val="000000"/>
                <w:kern w:val="0"/>
                <w:sz w:val="22"/>
                <w:szCs w:val="22"/>
                <w:u w:val="none"/>
                <w:lang w:val="en-US" w:eastAsia="zh-CN" w:bidi="ar"/>
              </w:rPr>
              <w:t>（g/100g）</w:t>
            </w:r>
          </w:p>
        </w:tc>
      </w:tr>
      <w:tr w14:paraId="5166EC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8D880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FZ01</w:t>
            </w:r>
          </w:p>
        </w:tc>
        <w:tc>
          <w:tcPr>
            <w:tcW w:w="8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CB7AC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头竹</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103B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26.4 </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DFCA6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8.06 </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C1746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49.2</w:t>
            </w:r>
          </w:p>
        </w:tc>
      </w:tr>
      <w:tr w14:paraId="425ED5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8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B8452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FZ02</w:t>
            </w:r>
          </w:p>
        </w:tc>
        <w:tc>
          <w:tcPr>
            <w:tcW w:w="8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3EC8B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尾竹</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F4485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16.7 </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A8442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9.04 </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A132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44.9</w:t>
            </w:r>
          </w:p>
        </w:tc>
      </w:tr>
      <w:tr w14:paraId="41DAB3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8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BF267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FZ03</w:t>
            </w:r>
          </w:p>
        </w:tc>
        <w:tc>
          <w:tcPr>
            <w:tcW w:w="8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1B762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头竹</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7497D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20.4 </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E7493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7.20 </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1FEA5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45.6</w:t>
            </w:r>
          </w:p>
        </w:tc>
      </w:tr>
      <w:tr w14:paraId="15A61A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B8E1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FZ04</w:t>
            </w:r>
          </w:p>
        </w:tc>
        <w:tc>
          <w:tcPr>
            <w:tcW w:w="8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1151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尾竹</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59C65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18.5 </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F15D9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8.51 </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581A9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43</w:t>
            </w:r>
          </w:p>
        </w:tc>
      </w:tr>
      <w:tr w14:paraId="077A9B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B0677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FZ05</w:t>
            </w:r>
          </w:p>
        </w:tc>
        <w:tc>
          <w:tcPr>
            <w:tcW w:w="8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5E6D7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头竹</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9CD7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20.5 </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60D51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7.57 </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1A219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49.3</w:t>
            </w:r>
          </w:p>
        </w:tc>
      </w:tr>
      <w:tr w14:paraId="1332BE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8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09E20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FZ06</w:t>
            </w:r>
          </w:p>
        </w:tc>
        <w:tc>
          <w:tcPr>
            <w:tcW w:w="8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A9FF3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尾竹</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553CD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23.2 </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DED9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7.60 </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3E4A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50.2</w:t>
            </w:r>
          </w:p>
        </w:tc>
      </w:tr>
      <w:tr w14:paraId="167080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8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389C9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FZ07</w:t>
            </w:r>
          </w:p>
        </w:tc>
        <w:tc>
          <w:tcPr>
            <w:tcW w:w="8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4BFCB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头竹</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7574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25.9 </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7F799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6.85 </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16417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50.3</w:t>
            </w:r>
          </w:p>
        </w:tc>
      </w:tr>
      <w:tr w14:paraId="752BE6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43246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FZ08</w:t>
            </w:r>
          </w:p>
        </w:tc>
        <w:tc>
          <w:tcPr>
            <w:tcW w:w="8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8C4AB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尾竹</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D0969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22.1 </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C7F4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7.18 </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7A8EE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47</w:t>
            </w:r>
          </w:p>
        </w:tc>
      </w:tr>
      <w:tr w14:paraId="55BB38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8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2AF36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FZ09</w:t>
            </w:r>
          </w:p>
        </w:tc>
        <w:tc>
          <w:tcPr>
            <w:tcW w:w="8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F3F1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头竹</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2BD7B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26.1 </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3BF76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7.60 </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0383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49.3</w:t>
            </w:r>
          </w:p>
        </w:tc>
      </w:tr>
      <w:tr w14:paraId="430D49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45451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FZ10</w:t>
            </w:r>
          </w:p>
        </w:tc>
        <w:tc>
          <w:tcPr>
            <w:tcW w:w="8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0EF90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尾竹</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FA434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11.9</w:t>
            </w:r>
            <w:r>
              <w:rPr>
                <w:rFonts w:hint="eastAsia" w:ascii="宋体" w:hAnsi="宋体" w:cs="宋体"/>
                <w:i w:val="0"/>
                <w:iCs w:val="0"/>
                <w:color w:val="000000"/>
                <w:kern w:val="0"/>
                <w:sz w:val="22"/>
                <w:szCs w:val="22"/>
                <w:u w:val="none"/>
                <w:lang w:val="en-US" w:eastAsia="zh-CN" w:bidi="ar"/>
              </w:rPr>
              <w:t>（异常）</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85F7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9.91 </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C3B3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41.5</w:t>
            </w:r>
          </w:p>
        </w:tc>
      </w:tr>
      <w:tr w14:paraId="496ACC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69BF7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FZ11</w:t>
            </w:r>
          </w:p>
        </w:tc>
        <w:tc>
          <w:tcPr>
            <w:tcW w:w="8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751C2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头竹</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9A2ED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23.8 </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9F042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7.89 </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BC98D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47.1</w:t>
            </w:r>
          </w:p>
        </w:tc>
      </w:tr>
      <w:tr w14:paraId="40102F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C25C2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FZ12</w:t>
            </w:r>
          </w:p>
        </w:tc>
        <w:tc>
          <w:tcPr>
            <w:tcW w:w="8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4FA8D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尾竹</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1A37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17.7 </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97C15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8.70 </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0154C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w:t>
            </w:r>
          </w:p>
        </w:tc>
      </w:tr>
      <w:tr w14:paraId="5D0C3F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FEE22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FZ13</w:t>
            </w:r>
          </w:p>
        </w:tc>
        <w:tc>
          <w:tcPr>
            <w:tcW w:w="8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E6C37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头竹</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9AD18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25.2 </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26217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7.79 </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9438C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53.5</w:t>
            </w:r>
          </w:p>
        </w:tc>
      </w:tr>
      <w:tr w14:paraId="08D074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1CA7E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FZ14</w:t>
            </w:r>
          </w:p>
        </w:tc>
        <w:tc>
          <w:tcPr>
            <w:tcW w:w="8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14F72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尾竹</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9B468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22.7 </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B17C8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9.22 </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6EA75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49</w:t>
            </w:r>
          </w:p>
        </w:tc>
      </w:tr>
      <w:tr w14:paraId="644718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8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CE65C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FZ15</w:t>
            </w:r>
          </w:p>
        </w:tc>
        <w:tc>
          <w:tcPr>
            <w:tcW w:w="8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C56F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头竹</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11AE8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27.8 </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1C270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6.91 </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C72EF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50.3</w:t>
            </w:r>
          </w:p>
        </w:tc>
      </w:tr>
      <w:tr w14:paraId="0FCACC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8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2BCDC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FZ16</w:t>
            </w:r>
          </w:p>
        </w:tc>
        <w:tc>
          <w:tcPr>
            <w:tcW w:w="8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54923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尾竹</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1A591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24.8 </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9D3AD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7.98 </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91EEF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45.1</w:t>
            </w:r>
          </w:p>
        </w:tc>
      </w:tr>
      <w:tr w14:paraId="3F33CB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1DCC0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FZ17</w:t>
            </w:r>
          </w:p>
        </w:tc>
        <w:tc>
          <w:tcPr>
            <w:tcW w:w="8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15DE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头竹</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CEC5A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26.0 </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77F0D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8.19 </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0C6A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50.5</w:t>
            </w:r>
          </w:p>
        </w:tc>
      </w:tr>
      <w:tr w14:paraId="775014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DED20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FZ18</w:t>
            </w:r>
          </w:p>
        </w:tc>
        <w:tc>
          <w:tcPr>
            <w:tcW w:w="8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BBB4C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尾竹</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9CB49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25.7 </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9BC4F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8.66 </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4FBB5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51.6</w:t>
            </w:r>
          </w:p>
        </w:tc>
      </w:tr>
      <w:tr w14:paraId="7BB172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271CB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FZ19</w:t>
            </w:r>
          </w:p>
        </w:tc>
        <w:tc>
          <w:tcPr>
            <w:tcW w:w="8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FA562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头竹</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DCDD9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28.0 </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7CCC8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7.27 </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46C6A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52.6</w:t>
            </w:r>
          </w:p>
        </w:tc>
      </w:tr>
      <w:tr w14:paraId="44C44E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8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8FC4E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FZ20</w:t>
            </w:r>
          </w:p>
        </w:tc>
        <w:tc>
          <w:tcPr>
            <w:tcW w:w="8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9D341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尾竹</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2AF3C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29.9 </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219F6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7.61 </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57826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50.5</w:t>
            </w:r>
          </w:p>
        </w:tc>
      </w:tr>
      <w:tr w14:paraId="6E68F0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8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21122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FZ21</w:t>
            </w:r>
          </w:p>
        </w:tc>
        <w:tc>
          <w:tcPr>
            <w:tcW w:w="8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A751C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头竹</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DF18A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23.9 </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FBF71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7.62 </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6F91E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46.6</w:t>
            </w:r>
          </w:p>
        </w:tc>
      </w:tr>
      <w:tr w14:paraId="326A3F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6B496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FZ22</w:t>
            </w:r>
          </w:p>
        </w:tc>
        <w:tc>
          <w:tcPr>
            <w:tcW w:w="8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4963F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尾竹</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FD7EA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22.9 </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86EC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7.58 </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1279A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46.9</w:t>
            </w:r>
          </w:p>
        </w:tc>
      </w:tr>
      <w:tr w14:paraId="023C98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8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296C0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FZ23</w:t>
            </w:r>
          </w:p>
        </w:tc>
        <w:tc>
          <w:tcPr>
            <w:tcW w:w="8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8D05C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头竹</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557E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20.7 </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99233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8.00 </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C195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53.6</w:t>
            </w:r>
          </w:p>
        </w:tc>
      </w:tr>
      <w:tr w14:paraId="3F72D6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3123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FZ24</w:t>
            </w:r>
          </w:p>
        </w:tc>
        <w:tc>
          <w:tcPr>
            <w:tcW w:w="8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2861C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尾竹</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C824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27.0 </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B6FEF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7.39 </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DC47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52.7</w:t>
            </w:r>
          </w:p>
        </w:tc>
      </w:tr>
      <w:tr w14:paraId="08BDAB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48C72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FZ25</w:t>
            </w:r>
          </w:p>
        </w:tc>
        <w:tc>
          <w:tcPr>
            <w:tcW w:w="8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8348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头竹</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F1E1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24.7 </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903A8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8.24 </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2388F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44.9</w:t>
            </w:r>
          </w:p>
        </w:tc>
      </w:tr>
      <w:tr w14:paraId="65F57F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315BA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FZ26</w:t>
            </w:r>
          </w:p>
        </w:tc>
        <w:tc>
          <w:tcPr>
            <w:tcW w:w="8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0455C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尾竹</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9F396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21.3 </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2254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8.62 </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0F40B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46.1</w:t>
            </w:r>
          </w:p>
        </w:tc>
      </w:tr>
      <w:tr w14:paraId="52CE2D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485C0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FZ27</w:t>
            </w:r>
          </w:p>
        </w:tc>
        <w:tc>
          <w:tcPr>
            <w:tcW w:w="8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4A78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头竹</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D6B19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27.2 </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30715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7.85 </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0E887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50.9</w:t>
            </w:r>
          </w:p>
        </w:tc>
      </w:tr>
      <w:tr w14:paraId="757CCB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88B15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FZ28</w:t>
            </w:r>
          </w:p>
        </w:tc>
        <w:tc>
          <w:tcPr>
            <w:tcW w:w="8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D729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尾竹</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79DD2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18.0 </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1FBB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9.20 </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2D36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49.5</w:t>
            </w:r>
          </w:p>
        </w:tc>
      </w:tr>
      <w:tr w14:paraId="3E4173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8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AF4B3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FZ29</w:t>
            </w:r>
          </w:p>
        </w:tc>
        <w:tc>
          <w:tcPr>
            <w:tcW w:w="8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EC555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头竹</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B0E15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24.7 </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F7A56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7.14 </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B8756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49.3</w:t>
            </w:r>
          </w:p>
        </w:tc>
      </w:tr>
      <w:tr w14:paraId="49C7E2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A470E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FZ30</w:t>
            </w:r>
          </w:p>
        </w:tc>
        <w:tc>
          <w:tcPr>
            <w:tcW w:w="8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DADE4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尾竹</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675D8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24.6 </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A11DC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7.92 </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FB87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47.7</w:t>
            </w:r>
          </w:p>
        </w:tc>
      </w:tr>
      <w:tr w14:paraId="58E2A9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8F9D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FZ31</w:t>
            </w:r>
          </w:p>
        </w:tc>
        <w:tc>
          <w:tcPr>
            <w:tcW w:w="8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4E85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头竹</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9CE7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24.4 </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26CF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8.95 </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55FB0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52.1</w:t>
            </w:r>
          </w:p>
        </w:tc>
      </w:tr>
      <w:tr w14:paraId="6BE9A6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18" w:type="pct"/>
            <w:tcBorders>
              <w:top w:val="single" w:color="000000" w:sz="4" w:space="0"/>
              <w:left w:val="single" w:color="000000" w:sz="4" w:space="0"/>
              <w:bottom w:val="nil"/>
              <w:right w:val="single" w:color="000000" w:sz="4" w:space="0"/>
            </w:tcBorders>
            <w:shd w:val="clear" w:color="auto" w:fill="auto"/>
            <w:noWrap/>
            <w:vAlign w:val="center"/>
          </w:tcPr>
          <w:p w14:paraId="39EDF18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FZ32</w:t>
            </w:r>
          </w:p>
        </w:tc>
        <w:tc>
          <w:tcPr>
            <w:tcW w:w="818" w:type="pct"/>
            <w:tcBorders>
              <w:top w:val="single" w:color="000000" w:sz="4" w:space="0"/>
              <w:left w:val="single" w:color="000000" w:sz="4" w:space="0"/>
              <w:bottom w:val="nil"/>
              <w:right w:val="single" w:color="000000" w:sz="4" w:space="0"/>
            </w:tcBorders>
            <w:shd w:val="clear" w:color="auto" w:fill="auto"/>
            <w:noWrap/>
            <w:vAlign w:val="center"/>
          </w:tcPr>
          <w:p w14:paraId="7EC03CE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尾竹</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359FB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23.2 </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4B61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9.49 </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5FAF9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50.7</w:t>
            </w:r>
          </w:p>
        </w:tc>
      </w:tr>
      <w:tr w14:paraId="136E69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63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68A038">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最大值</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29F329">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29.9</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343A1C">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9.91</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00A845">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53.6</w:t>
            </w:r>
          </w:p>
        </w:tc>
      </w:tr>
      <w:tr w14:paraId="1D35DC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63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36F978">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最小值</w:t>
            </w:r>
          </w:p>
        </w:tc>
        <w:tc>
          <w:tcPr>
            <w:tcW w:w="20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9236A3">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16.</w:t>
            </w:r>
            <w:r>
              <w:rPr>
                <w:rFonts w:hint="eastAsia" w:ascii="宋体" w:hAnsi="宋体" w:cs="宋体"/>
                <w:b/>
                <w:bCs/>
                <w:i w:val="0"/>
                <w:iCs w:val="0"/>
                <w:color w:val="000000"/>
                <w:kern w:val="0"/>
                <w:sz w:val="22"/>
                <w:szCs w:val="22"/>
                <w:u w:val="none"/>
                <w:lang w:val="en-US" w:eastAsia="zh-CN" w:bidi="ar"/>
              </w:rPr>
              <w:t>7</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3AE101">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6.85</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F190F1">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41.5</w:t>
            </w:r>
          </w:p>
        </w:tc>
      </w:tr>
      <w:tr w14:paraId="77C58F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163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25293">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平均值</w:t>
            </w:r>
          </w:p>
        </w:tc>
        <w:tc>
          <w:tcPr>
            <w:tcW w:w="20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4AC289">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23.67 </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7E0E00">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8.05 </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E7C1CB">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48.73 </w:t>
            </w:r>
          </w:p>
        </w:tc>
      </w:tr>
      <w:tr w14:paraId="462CFF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163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064A59">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标准差</w:t>
            </w:r>
          </w:p>
        </w:tc>
        <w:tc>
          <w:tcPr>
            <w:tcW w:w="20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AF9F3B">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3.19 </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0F9487">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0.77 </w:t>
            </w:r>
          </w:p>
        </w:tc>
        <w:tc>
          <w:tcPr>
            <w:tcW w:w="112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616219">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2.96 </w:t>
            </w:r>
          </w:p>
        </w:tc>
      </w:tr>
    </w:tbl>
    <w:p w14:paraId="2F82C2EA">
      <w:pPr>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对于钟山红花腐竹而言，由于其古法工艺特点，腐竹两次烘干后水分含量较低，此外，挂浆后的腐竹的营养指标有所提升，也能弥补尾竹营养不足的缺陷，让尾竹的营养指标也能达到头竹的水平，因此，在检测结果中，相同企业生产的头竹和尾竹的蛋白质、脂肪含量基本一致的。结果分析如下：</w:t>
      </w:r>
    </w:p>
    <w:p w14:paraId="7119F806">
      <w:pPr>
        <w:ind w:firstLine="640" w:firstLineChars="20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（1）水分</w:t>
      </w:r>
    </w:p>
    <w:p w14:paraId="51697B6C">
      <w:pPr>
        <w:ind w:firstLine="640" w:firstLineChars="200"/>
        <w:rPr>
          <w:rFonts w:hint="default" w:ascii="仿宋_GB2312" w:hAnsi="宋体" w:eastAsia="仿宋_GB2312"/>
          <w:sz w:val="32"/>
          <w:szCs w:val="32"/>
          <w:lang w:val="en-US" w:eastAsia="zh-CN"/>
        </w:rPr>
      </w:pPr>
      <w:r>
        <w:rPr>
          <w:rFonts w:hint="default" w:ascii="仿宋_GB2312" w:hAnsi="宋体" w:eastAsia="仿宋_GB2312"/>
          <w:sz w:val="32"/>
          <w:szCs w:val="32"/>
          <w:lang w:val="en-US" w:eastAsia="zh-CN"/>
        </w:rPr>
        <w:t>水分及挥发物含量是</w:t>
      </w:r>
      <w:r>
        <w:rPr>
          <w:rFonts w:hint="eastAsia" w:ascii="仿宋_GB2312" w:hAnsi="宋体" w:eastAsia="仿宋_GB2312"/>
          <w:sz w:val="32"/>
          <w:szCs w:val="32"/>
          <w:lang w:val="en-US" w:eastAsia="zh-CN"/>
        </w:rPr>
        <w:t>腐竹</w:t>
      </w:r>
      <w:r>
        <w:rPr>
          <w:rFonts w:hint="default" w:ascii="仿宋_GB2312" w:hAnsi="宋体" w:eastAsia="仿宋_GB2312"/>
          <w:sz w:val="32"/>
          <w:szCs w:val="32"/>
          <w:lang w:val="en-US" w:eastAsia="zh-CN"/>
        </w:rPr>
        <w:t>的重要指标，水分过高容易发生霉变，因此需要控制水分及挥发物保障贮存过程中</w:t>
      </w:r>
      <w:r>
        <w:rPr>
          <w:rFonts w:hint="eastAsia" w:ascii="仿宋_GB2312" w:hAnsi="宋体" w:eastAsia="仿宋_GB2312"/>
          <w:sz w:val="32"/>
          <w:szCs w:val="32"/>
          <w:lang w:val="en-US" w:eastAsia="zh-CN"/>
        </w:rPr>
        <w:t>腐竹</w:t>
      </w:r>
      <w:r>
        <w:rPr>
          <w:rFonts w:hint="default" w:ascii="仿宋_GB2312" w:hAnsi="宋体" w:eastAsia="仿宋_GB2312"/>
          <w:sz w:val="32"/>
          <w:szCs w:val="32"/>
          <w:lang w:val="en-US" w:eastAsia="zh-CN"/>
        </w:rPr>
        <w:t>的质量不受影响，由表3可知，受检的</w:t>
      </w:r>
      <w:r>
        <w:rPr>
          <w:rFonts w:hint="eastAsia" w:ascii="仿宋_GB2312" w:hAnsi="宋体" w:eastAsia="仿宋_GB2312"/>
          <w:sz w:val="32"/>
          <w:szCs w:val="32"/>
          <w:lang w:val="en-US" w:eastAsia="zh-CN"/>
        </w:rPr>
        <w:t>32</w:t>
      </w:r>
      <w:r>
        <w:rPr>
          <w:rFonts w:hint="default" w:ascii="仿宋_GB2312" w:hAnsi="宋体" w:eastAsia="仿宋_GB2312"/>
          <w:sz w:val="32"/>
          <w:szCs w:val="32"/>
          <w:lang w:val="en-US" w:eastAsia="zh-CN"/>
        </w:rPr>
        <w:t>个批次的</w:t>
      </w:r>
      <w:r>
        <w:rPr>
          <w:rFonts w:hint="eastAsia" w:ascii="仿宋_GB2312" w:hAnsi="宋体" w:eastAsia="仿宋_GB2312"/>
          <w:sz w:val="32"/>
          <w:szCs w:val="32"/>
          <w:lang w:val="en-US" w:eastAsia="zh-CN"/>
        </w:rPr>
        <w:t>腐竹</w:t>
      </w:r>
      <w:r>
        <w:rPr>
          <w:rFonts w:hint="default" w:ascii="仿宋_GB2312" w:hAnsi="宋体" w:eastAsia="仿宋_GB2312"/>
          <w:sz w:val="32"/>
          <w:szCs w:val="32"/>
          <w:lang w:val="en-US" w:eastAsia="zh-CN"/>
        </w:rPr>
        <w:t>样品中，水分最大值为9.91g/100g，最小值为6.85g/100g，平均值为</w:t>
      </w:r>
      <w:r>
        <w:rPr>
          <w:rFonts w:hint="eastAsia" w:ascii="仿宋_GB2312" w:hAnsi="宋体" w:eastAsia="仿宋_GB2312"/>
          <w:sz w:val="32"/>
          <w:szCs w:val="32"/>
          <w:lang w:val="en-US" w:eastAsia="zh-CN"/>
        </w:rPr>
        <w:t>8.05</w:t>
      </w:r>
      <w:r>
        <w:rPr>
          <w:rFonts w:hint="default" w:ascii="仿宋_GB2312" w:hAnsi="宋体" w:eastAsia="仿宋_GB2312"/>
          <w:sz w:val="32"/>
          <w:szCs w:val="32"/>
          <w:lang w:val="en-US" w:eastAsia="zh-CN"/>
        </w:rPr>
        <w:t>g/100g；GB/T 22106-2008《非发酵豆制品》要求腐竹水分为≤12g/100g，</w:t>
      </w:r>
      <w:r>
        <w:rPr>
          <w:rFonts w:hint="eastAsia" w:ascii="仿宋_GB2312" w:hAnsi="宋体" w:eastAsia="仿宋_GB2312"/>
          <w:sz w:val="32"/>
          <w:szCs w:val="32"/>
          <w:lang w:val="en-US" w:eastAsia="zh-CN"/>
        </w:rPr>
        <w:t>16家作坊受检的头竹和尾竹都能达到该要求，考虑到抽检的时期等因素，经过编制单位研究对比讨论，将钟山红花腐竹分为特级和一级，要求特级腐竹的水分≤10g/100g，一级腐竹的水分≤12g/100g，所有产品均能达到该要求。</w:t>
      </w:r>
    </w:p>
    <w:p w14:paraId="553C12AE">
      <w:pPr>
        <w:ind w:firstLine="640" w:firstLineChars="20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（2）蛋白质</w:t>
      </w:r>
    </w:p>
    <w:p w14:paraId="3394E6A8">
      <w:pPr>
        <w:ind w:firstLine="640" w:firstLineChars="200"/>
        <w:rPr>
          <w:rFonts w:hint="default" w:ascii="仿宋_GB2312" w:hAnsi="宋体" w:eastAsia="仿宋_GB2312"/>
          <w:sz w:val="32"/>
          <w:szCs w:val="32"/>
          <w:lang w:val="en-US" w:eastAsia="zh-CN"/>
        </w:rPr>
      </w:pPr>
      <w:r>
        <w:rPr>
          <w:rFonts w:hint="default" w:ascii="仿宋_GB2312" w:hAnsi="宋体" w:eastAsia="仿宋_GB2312"/>
          <w:sz w:val="32"/>
          <w:szCs w:val="32"/>
          <w:lang w:val="en-US" w:eastAsia="zh-CN"/>
        </w:rPr>
        <w:t>腐竹是由大豆制成的，而大豆是含蛋白质丰富的食品，所以经过制作后的腐竹其蛋白质水平保持在一个较高水平。</w:t>
      </w:r>
      <w:r>
        <w:rPr>
          <w:rFonts w:hint="eastAsia" w:ascii="仿宋_GB2312" w:hAnsi="宋体" w:eastAsia="仿宋_GB2312"/>
          <w:sz w:val="32"/>
          <w:szCs w:val="32"/>
          <w:lang w:val="en-US" w:eastAsia="zh-CN"/>
        </w:rPr>
        <w:t>换而言之</w:t>
      </w:r>
      <w:r>
        <w:rPr>
          <w:rFonts w:hint="default" w:ascii="仿宋_GB2312" w:hAnsi="宋体" w:eastAsia="仿宋_GB2312"/>
          <w:sz w:val="32"/>
          <w:szCs w:val="32"/>
          <w:lang w:val="en-US" w:eastAsia="zh-CN"/>
        </w:rPr>
        <w:t>蛋白质是腐竹产品最重要的理化指标，蛋白质指标的高低决定了腐竹质量。由表3可知，受检的32个批次的腐竹样品中，蛋白质</w:t>
      </w:r>
      <w:r>
        <w:rPr>
          <w:rFonts w:hint="eastAsia" w:ascii="仿宋_GB2312" w:hAnsi="宋体" w:eastAsia="仿宋_GB2312"/>
          <w:sz w:val="32"/>
          <w:szCs w:val="32"/>
          <w:lang w:val="en-US" w:eastAsia="zh-CN"/>
        </w:rPr>
        <w:t>含量最大值为53.6g/100g，最小值为41.5g/100g，平均值为48.7g/100g；GB/T 22106-2008《非发酵豆制品》要求腐竹蛋白质含量为≥45g/100g，28个批次的样品大于该指标。T/GXAS 376-2022《社坡腐竹》要求特级腐竹蛋白质含量≥46g/100g，一级40g/100g；T/GXAS 258-2021《地理标志产品  桂林腐竹》要求特级腐竹蛋白质含量≥46g/100g，优级42g/100g。结合检测数据，蛋白质含量平均值为48.7g/100g，而有26个批次的产品达到46g/100g，即达标率为81.2％；有23个批次的产品达到47g/100g，即达标率为71.9％，经过编制单位研究对比讨论，为了体现钟山红花腐竹的优异品质，要求特级腐竹蛋白质含量≥47g/100g，一级腐竹蛋白质含量≥42g/100g（96.9％达标）。</w:t>
      </w:r>
    </w:p>
    <w:p w14:paraId="2E1917E0">
      <w:pPr>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（3）脂肪</w:t>
      </w:r>
    </w:p>
    <w:p w14:paraId="50EFAD93">
      <w:pPr>
        <w:ind w:firstLine="640" w:firstLineChars="200"/>
        <w:rPr>
          <w:rFonts w:hint="default" w:ascii="仿宋_GB2312" w:hAnsi="宋体" w:eastAsia="仿宋_GB2312"/>
          <w:sz w:val="32"/>
          <w:szCs w:val="32"/>
          <w:lang w:val="en-US" w:eastAsia="zh-CN"/>
        </w:rPr>
      </w:pPr>
      <w:r>
        <w:rPr>
          <w:rFonts w:hint="default" w:ascii="仿宋_GB2312" w:hAnsi="宋体" w:eastAsia="仿宋_GB2312"/>
          <w:sz w:val="32"/>
          <w:szCs w:val="32"/>
          <w:lang w:val="en-US" w:eastAsia="zh-CN"/>
        </w:rPr>
        <w:t>通过脂肪指标检测腐竹是否掺假（淀粉，食用级胶质物），如果掺假，蛋白质含量虽然能达到指标要求，脂肪不一定达到相应的要求，所以</w:t>
      </w:r>
      <w:r>
        <w:rPr>
          <w:rFonts w:hint="eastAsia" w:ascii="仿宋_GB2312" w:hAnsi="宋体" w:eastAsia="仿宋_GB2312"/>
          <w:sz w:val="32"/>
          <w:szCs w:val="32"/>
          <w:lang w:val="en-US" w:eastAsia="zh-CN"/>
        </w:rPr>
        <w:t>，相较于GB/T 22106-2008《非发酵豆制品》的要求，本标准</w:t>
      </w:r>
      <w:r>
        <w:rPr>
          <w:rFonts w:hint="default" w:ascii="仿宋_GB2312" w:hAnsi="宋体" w:eastAsia="仿宋_GB2312"/>
          <w:sz w:val="32"/>
          <w:szCs w:val="32"/>
          <w:lang w:val="en-US" w:eastAsia="zh-CN"/>
        </w:rPr>
        <w:t>增加</w:t>
      </w:r>
      <w:r>
        <w:rPr>
          <w:rFonts w:hint="eastAsia" w:ascii="仿宋_GB2312" w:hAnsi="宋体" w:eastAsia="仿宋_GB2312"/>
          <w:sz w:val="32"/>
          <w:szCs w:val="32"/>
          <w:lang w:val="en-US" w:eastAsia="zh-CN"/>
        </w:rPr>
        <w:t>了脂肪的</w:t>
      </w:r>
      <w:r>
        <w:rPr>
          <w:rFonts w:hint="default" w:ascii="仿宋_GB2312" w:hAnsi="宋体" w:eastAsia="仿宋_GB2312"/>
          <w:sz w:val="32"/>
          <w:szCs w:val="32"/>
          <w:lang w:val="en-US" w:eastAsia="zh-CN"/>
        </w:rPr>
        <w:t>指标。由表3可知，受检的32个批次的腐竹样品中</w:t>
      </w:r>
      <w:r>
        <w:rPr>
          <w:rFonts w:hint="eastAsia" w:ascii="仿宋_GB2312" w:hAnsi="宋体" w:eastAsia="仿宋_GB2312"/>
          <w:sz w:val="32"/>
          <w:szCs w:val="32"/>
          <w:lang w:val="en-US" w:eastAsia="zh-CN"/>
        </w:rPr>
        <w:t>（除去第10个批次的异常值）</w:t>
      </w:r>
      <w:r>
        <w:rPr>
          <w:rFonts w:hint="default" w:ascii="仿宋_GB2312" w:hAnsi="宋体" w:eastAsia="仿宋_GB2312"/>
          <w:sz w:val="32"/>
          <w:szCs w:val="32"/>
          <w:lang w:val="en-US" w:eastAsia="zh-CN"/>
        </w:rPr>
        <w:t>脂肪含量最大值为</w:t>
      </w:r>
      <w:r>
        <w:rPr>
          <w:rFonts w:hint="eastAsia" w:ascii="仿宋_GB2312" w:hAnsi="宋体" w:eastAsia="仿宋_GB2312"/>
          <w:sz w:val="32"/>
          <w:szCs w:val="32"/>
          <w:lang w:val="en-US" w:eastAsia="zh-CN"/>
        </w:rPr>
        <w:t>29.9</w:t>
      </w:r>
      <w:r>
        <w:rPr>
          <w:rFonts w:hint="default" w:ascii="仿宋_GB2312" w:hAnsi="宋体" w:eastAsia="仿宋_GB2312"/>
          <w:sz w:val="32"/>
          <w:szCs w:val="32"/>
          <w:lang w:val="en-US" w:eastAsia="zh-CN"/>
        </w:rPr>
        <w:t>g/100g，最小值为</w:t>
      </w:r>
      <w:r>
        <w:rPr>
          <w:rFonts w:hint="eastAsia" w:ascii="仿宋_GB2312" w:hAnsi="宋体" w:eastAsia="仿宋_GB2312"/>
          <w:sz w:val="32"/>
          <w:szCs w:val="32"/>
          <w:lang w:val="en-US" w:eastAsia="zh-CN"/>
        </w:rPr>
        <w:t>16.7</w:t>
      </w:r>
      <w:r>
        <w:rPr>
          <w:rFonts w:hint="default" w:ascii="仿宋_GB2312" w:hAnsi="宋体" w:eastAsia="仿宋_GB2312"/>
          <w:sz w:val="32"/>
          <w:szCs w:val="32"/>
          <w:lang w:val="en-US" w:eastAsia="zh-CN"/>
        </w:rPr>
        <w:t>g/100g，平均值为</w:t>
      </w:r>
      <w:r>
        <w:rPr>
          <w:rFonts w:hint="eastAsia" w:ascii="仿宋_GB2312" w:hAnsi="宋体" w:eastAsia="仿宋_GB2312"/>
          <w:sz w:val="32"/>
          <w:szCs w:val="32"/>
          <w:lang w:val="en-US" w:eastAsia="zh-CN"/>
        </w:rPr>
        <w:t>23.67</w:t>
      </w:r>
      <w:r>
        <w:rPr>
          <w:rFonts w:hint="default" w:ascii="仿宋_GB2312" w:hAnsi="宋体" w:eastAsia="仿宋_GB2312"/>
          <w:sz w:val="32"/>
          <w:szCs w:val="32"/>
          <w:lang w:val="en-US" w:eastAsia="zh-CN"/>
        </w:rPr>
        <w:t>g/100g；T/GXAS 376-2022《社坡腐竹》要求特级腐竹脂肪含量≥</w:t>
      </w:r>
      <w:r>
        <w:rPr>
          <w:rFonts w:hint="eastAsia" w:ascii="仿宋_GB2312" w:hAnsi="宋体" w:eastAsia="仿宋_GB2312"/>
          <w:sz w:val="32"/>
          <w:szCs w:val="32"/>
          <w:lang w:val="en-US" w:eastAsia="zh-CN"/>
        </w:rPr>
        <w:t>19</w:t>
      </w:r>
      <w:r>
        <w:rPr>
          <w:rFonts w:hint="default" w:ascii="仿宋_GB2312" w:hAnsi="宋体" w:eastAsia="仿宋_GB2312"/>
          <w:sz w:val="32"/>
          <w:szCs w:val="32"/>
          <w:lang w:val="en-US" w:eastAsia="zh-CN"/>
        </w:rPr>
        <w:t>g/100g，一级</w:t>
      </w:r>
      <w:r>
        <w:rPr>
          <w:rFonts w:hint="eastAsia" w:ascii="仿宋_GB2312" w:hAnsi="宋体" w:eastAsia="仿宋_GB2312"/>
          <w:sz w:val="32"/>
          <w:szCs w:val="32"/>
          <w:lang w:val="en-US" w:eastAsia="zh-CN"/>
        </w:rPr>
        <w:t>15</w:t>
      </w:r>
      <w:r>
        <w:rPr>
          <w:rFonts w:hint="default" w:ascii="仿宋_GB2312" w:hAnsi="宋体" w:eastAsia="仿宋_GB2312"/>
          <w:sz w:val="32"/>
          <w:szCs w:val="32"/>
          <w:lang w:val="en-US" w:eastAsia="zh-CN"/>
        </w:rPr>
        <w:t>g/100g；T/GXAS 258-2021《地理标志产品  桂林腐竹》要求腐竹脂肪含量≥</w:t>
      </w:r>
      <w:r>
        <w:rPr>
          <w:rFonts w:hint="eastAsia" w:ascii="仿宋_GB2312" w:hAnsi="宋体" w:eastAsia="仿宋_GB2312"/>
          <w:sz w:val="32"/>
          <w:szCs w:val="32"/>
          <w:lang w:val="en-US" w:eastAsia="zh-CN"/>
        </w:rPr>
        <w:t>18</w:t>
      </w:r>
      <w:r>
        <w:rPr>
          <w:rFonts w:hint="default" w:ascii="仿宋_GB2312" w:hAnsi="宋体" w:eastAsia="仿宋_GB2312"/>
          <w:sz w:val="32"/>
          <w:szCs w:val="32"/>
          <w:lang w:val="en-US" w:eastAsia="zh-CN"/>
        </w:rPr>
        <w:t>g/100g。结合检测数据，脂肪含量平均值为24.6g/100g，</w:t>
      </w:r>
      <w:r>
        <w:rPr>
          <w:rFonts w:hint="eastAsia" w:ascii="仿宋_GB2312" w:hAnsi="宋体" w:eastAsia="仿宋_GB2312"/>
          <w:sz w:val="32"/>
          <w:szCs w:val="32"/>
          <w:lang w:val="en-US" w:eastAsia="zh-CN"/>
        </w:rPr>
        <w:t>31个批次样品中</w:t>
      </w:r>
      <w:r>
        <w:rPr>
          <w:rFonts w:hint="default" w:ascii="仿宋_GB2312" w:hAnsi="宋体" w:eastAsia="仿宋_GB2312"/>
          <w:sz w:val="32"/>
          <w:szCs w:val="32"/>
          <w:lang w:val="en-US" w:eastAsia="zh-CN"/>
        </w:rPr>
        <w:t>有</w:t>
      </w:r>
      <w:r>
        <w:rPr>
          <w:rFonts w:hint="eastAsia" w:ascii="仿宋_GB2312" w:hAnsi="宋体" w:eastAsia="仿宋_GB2312"/>
          <w:sz w:val="32"/>
          <w:szCs w:val="32"/>
          <w:lang w:val="en-US" w:eastAsia="zh-CN"/>
        </w:rPr>
        <w:t>28</w:t>
      </w:r>
      <w:r>
        <w:rPr>
          <w:rFonts w:hint="default" w:ascii="仿宋_GB2312" w:hAnsi="宋体" w:eastAsia="仿宋_GB2312"/>
          <w:sz w:val="32"/>
          <w:szCs w:val="32"/>
          <w:lang w:val="en-US" w:eastAsia="zh-CN"/>
        </w:rPr>
        <w:t>个批次的产品达到</w:t>
      </w:r>
      <w:r>
        <w:rPr>
          <w:rFonts w:hint="eastAsia" w:ascii="仿宋_GB2312" w:hAnsi="宋体" w:eastAsia="仿宋_GB2312"/>
          <w:sz w:val="32"/>
          <w:szCs w:val="32"/>
          <w:lang w:val="en-US" w:eastAsia="zh-CN"/>
        </w:rPr>
        <w:t>20</w:t>
      </w:r>
      <w:r>
        <w:rPr>
          <w:rFonts w:hint="default" w:ascii="仿宋_GB2312" w:hAnsi="宋体" w:eastAsia="仿宋_GB2312"/>
          <w:sz w:val="32"/>
          <w:szCs w:val="32"/>
          <w:lang w:val="en-US" w:eastAsia="zh-CN"/>
        </w:rPr>
        <w:t>g/100g，即达标率为</w:t>
      </w:r>
      <w:r>
        <w:rPr>
          <w:rFonts w:hint="eastAsia" w:ascii="仿宋_GB2312" w:hAnsi="宋体" w:eastAsia="仿宋_GB2312"/>
          <w:sz w:val="32"/>
          <w:szCs w:val="32"/>
          <w:lang w:val="en-US" w:eastAsia="zh-CN"/>
        </w:rPr>
        <w:t>90.3</w:t>
      </w:r>
      <w:r>
        <w:rPr>
          <w:rFonts w:hint="default" w:ascii="仿宋_GB2312" w:hAnsi="宋体" w:eastAsia="仿宋_GB2312"/>
          <w:sz w:val="32"/>
          <w:szCs w:val="32"/>
          <w:lang w:val="en-US" w:eastAsia="zh-CN"/>
        </w:rPr>
        <w:t>％，</w:t>
      </w:r>
      <w:r>
        <w:rPr>
          <w:rFonts w:hint="eastAsia" w:ascii="仿宋_GB2312" w:hAnsi="宋体" w:eastAsia="仿宋_GB2312"/>
          <w:sz w:val="32"/>
          <w:szCs w:val="32"/>
          <w:lang w:val="en-US" w:eastAsia="zh-CN"/>
        </w:rPr>
        <w:t>样品15g/100g均大于15g/100g，</w:t>
      </w:r>
      <w:r>
        <w:rPr>
          <w:rFonts w:hint="default" w:ascii="仿宋_GB2312" w:hAnsi="宋体" w:eastAsia="仿宋_GB2312"/>
          <w:sz w:val="32"/>
          <w:szCs w:val="32"/>
          <w:lang w:val="en-US" w:eastAsia="zh-CN"/>
        </w:rPr>
        <w:t>经过编制单位研究对比讨论，为了体现钟山红花腐竹的优异品质，要求特级腐竹脂肪含量≥</w:t>
      </w:r>
      <w:r>
        <w:rPr>
          <w:rFonts w:hint="eastAsia" w:ascii="仿宋_GB2312" w:hAnsi="宋体" w:eastAsia="仿宋_GB2312"/>
          <w:sz w:val="32"/>
          <w:szCs w:val="32"/>
          <w:lang w:val="en-US" w:eastAsia="zh-CN"/>
        </w:rPr>
        <w:t>20</w:t>
      </w:r>
      <w:r>
        <w:rPr>
          <w:rFonts w:hint="default" w:ascii="仿宋_GB2312" w:hAnsi="宋体" w:eastAsia="仿宋_GB2312"/>
          <w:sz w:val="32"/>
          <w:szCs w:val="32"/>
          <w:lang w:val="en-US" w:eastAsia="zh-CN"/>
        </w:rPr>
        <w:t>g/100g，一级腐竹脂肪含量≥</w:t>
      </w:r>
      <w:r>
        <w:rPr>
          <w:rFonts w:hint="eastAsia" w:ascii="仿宋_GB2312" w:hAnsi="宋体" w:eastAsia="仿宋_GB2312"/>
          <w:sz w:val="32"/>
          <w:szCs w:val="32"/>
          <w:lang w:val="en-US" w:eastAsia="zh-CN"/>
        </w:rPr>
        <w:t>15</w:t>
      </w:r>
      <w:r>
        <w:rPr>
          <w:rFonts w:hint="default" w:ascii="仿宋_GB2312" w:hAnsi="宋体" w:eastAsia="仿宋_GB2312"/>
          <w:sz w:val="32"/>
          <w:szCs w:val="32"/>
          <w:lang w:val="en-US" w:eastAsia="zh-CN"/>
        </w:rPr>
        <w:t>g/100g（</w:t>
      </w:r>
      <w:r>
        <w:rPr>
          <w:rFonts w:hint="eastAsia" w:ascii="仿宋_GB2312" w:hAnsi="宋体" w:eastAsia="仿宋_GB2312"/>
          <w:sz w:val="32"/>
          <w:szCs w:val="32"/>
          <w:lang w:val="en-US" w:eastAsia="zh-CN"/>
        </w:rPr>
        <w:t>100</w:t>
      </w:r>
      <w:r>
        <w:rPr>
          <w:rFonts w:hint="default" w:ascii="仿宋_GB2312" w:hAnsi="宋体" w:eastAsia="仿宋_GB2312"/>
          <w:sz w:val="32"/>
          <w:szCs w:val="32"/>
          <w:lang w:val="en-US" w:eastAsia="zh-CN"/>
        </w:rPr>
        <w:t>％达标）。</w:t>
      </w:r>
    </w:p>
    <w:p w14:paraId="352C5FC3">
      <w:pPr>
        <w:ind w:firstLine="643" w:firstLineChars="200"/>
        <w:rPr>
          <w:rFonts w:hint="eastAsia" w:ascii="仿宋_GB2312" w:hAnsi="宋体" w:eastAsia="仿宋_GB2312"/>
          <w:b/>
          <w:bCs/>
          <w:sz w:val="32"/>
          <w:szCs w:val="32"/>
          <w:lang w:val="en-US" w:eastAsia="zh-CN"/>
        </w:rPr>
      </w:pPr>
      <w:r>
        <w:rPr>
          <w:rFonts w:hint="eastAsia" w:ascii="仿宋_GB2312" w:hAnsi="宋体" w:eastAsia="仿宋_GB2312"/>
          <w:b/>
          <w:bCs/>
          <w:sz w:val="32"/>
          <w:szCs w:val="32"/>
          <w:lang w:val="en-US" w:eastAsia="zh-CN"/>
        </w:rPr>
        <w:t>3、其他</w:t>
      </w:r>
    </w:p>
    <w:p w14:paraId="62A68AFA">
      <w:pPr>
        <w:ind w:firstLine="640" w:firstLineChars="200"/>
        <w:rPr>
          <w:rFonts w:hint="eastAsia" w:ascii="仿宋_GB2312" w:hAnsi="宋体" w:eastAsia="仿宋_GB2312"/>
          <w:sz w:val="32"/>
          <w:szCs w:val="32"/>
          <w:lang w:val="zh-CN"/>
        </w:rPr>
      </w:pPr>
      <w:r>
        <w:rPr>
          <w:rFonts w:hint="eastAsia" w:ascii="仿宋_GB2312" w:hAnsi="宋体" w:eastAsia="仿宋_GB2312"/>
          <w:sz w:val="32"/>
          <w:szCs w:val="32"/>
          <w:lang w:val="en-US" w:eastAsia="zh-CN"/>
        </w:rPr>
        <w:t>此外，</w:t>
      </w:r>
      <w:r>
        <w:rPr>
          <w:rFonts w:hint="eastAsia" w:ascii="仿宋_GB2312" w:hAnsi="宋体" w:eastAsia="仿宋_GB2312"/>
          <w:sz w:val="32"/>
          <w:szCs w:val="32"/>
          <w:lang w:val="zh-CN"/>
        </w:rPr>
        <w:t>腐竹属于豆制品，应符合GB 2712《食品安全国家标准  豆制品》的规定，且不</w:t>
      </w:r>
      <w:r>
        <w:rPr>
          <w:rFonts w:hint="eastAsia" w:ascii="仿宋_GB2312" w:hAnsi="宋体" w:eastAsia="仿宋_GB2312"/>
          <w:sz w:val="32"/>
          <w:szCs w:val="32"/>
          <w:lang w:val="en-US" w:eastAsia="zh-CN"/>
        </w:rPr>
        <w:t>能</w:t>
      </w:r>
      <w:r>
        <w:rPr>
          <w:rFonts w:hint="eastAsia" w:ascii="仿宋_GB2312" w:hAnsi="宋体" w:eastAsia="仿宋_GB2312"/>
          <w:sz w:val="32"/>
          <w:szCs w:val="32"/>
          <w:lang w:val="zh-CN"/>
        </w:rPr>
        <w:t>检出甲醛次硫酸氢钠（吊白块）。食品添加剂的使用</w:t>
      </w:r>
      <w:r>
        <w:rPr>
          <w:rFonts w:hint="eastAsia" w:ascii="仿宋_GB2312" w:hAnsi="宋体" w:eastAsia="仿宋_GB2312"/>
          <w:sz w:val="32"/>
          <w:szCs w:val="32"/>
          <w:lang w:val="en-US" w:eastAsia="zh-CN"/>
        </w:rPr>
        <w:t>方面，要求</w:t>
      </w:r>
      <w:r>
        <w:rPr>
          <w:rFonts w:hint="eastAsia" w:ascii="仿宋_GB2312" w:hAnsi="宋体" w:eastAsia="仿宋_GB2312"/>
          <w:sz w:val="32"/>
          <w:szCs w:val="32"/>
          <w:lang w:val="zh-CN"/>
        </w:rPr>
        <w:t>符合GB 2760《食品安全国家标准  食品添加剂使用标准》的规定。净含量</w:t>
      </w:r>
      <w:r>
        <w:rPr>
          <w:rFonts w:hint="eastAsia" w:ascii="仿宋_GB2312" w:hAnsi="宋体" w:eastAsia="仿宋_GB2312"/>
          <w:sz w:val="32"/>
          <w:szCs w:val="32"/>
          <w:lang w:val="en-US" w:eastAsia="zh-CN"/>
        </w:rPr>
        <w:t>上，要求</w:t>
      </w:r>
      <w:r>
        <w:rPr>
          <w:rFonts w:hint="eastAsia" w:ascii="仿宋_GB2312" w:hAnsi="宋体" w:eastAsia="仿宋_GB2312"/>
          <w:sz w:val="32"/>
          <w:szCs w:val="32"/>
          <w:lang w:val="zh-CN"/>
        </w:rPr>
        <w:t>预包装产品应符合《定量包装商品计量监督管理办法》的规定。</w:t>
      </w:r>
    </w:p>
    <w:p w14:paraId="71D7E1CA">
      <w:pPr>
        <w:pStyle w:val="30"/>
        <w:numPr>
          <w:ilvl w:val="0"/>
          <w:numId w:val="9"/>
        </w:numPr>
        <w:autoSpaceDE w:val="0"/>
        <w:autoSpaceDN w:val="0"/>
        <w:adjustRightInd w:val="0"/>
        <w:spacing w:before="156" w:beforeLines="50" w:after="156" w:afterLines="50" w:line="560" w:lineRule="exact"/>
        <w:ind w:firstLineChars="0"/>
        <w:jc w:val="left"/>
        <w:rPr>
          <w:rFonts w:ascii="仿宋_GB2312" w:hAnsi="宋体" w:eastAsia="仿宋_GB2312"/>
          <w:b/>
          <w:sz w:val="32"/>
          <w:szCs w:val="32"/>
          <w:lang w:val="zh-CN"/>
        </w:rPr>
      </w:pPr>
      <w:r>
        <w:rPr>
          <w:rFonts w:hint="eastAsia" w:ascii="仿宋_GB2312" w:hAnsi="宋体" w:eastAsia="仿宋_GB2312"/>
          <w:b/>
          <w:sz w:val="32"/>
          <w:szCs w:val="32"/>
          <w:lang w:val="en-US" w:eastAsia="zh-CN"/>
        </w:rPr>
        <w:t>试验方法</w:t>
      </w:r>
    </w:p>
    <w:p w14:paraId="3FD90EC6">
      <w:pPr>
        <w:ind w:firstLine="640" w:firstLineChars="200"/>
        <w:rPr>
          <w:rFonts w:hint="eastAsia" w:ascii="仿宋_GB2312" w:hAnsi="宋体" w:eastAsia="仿宋_GB2312"/>
          <w:sz w:val="32"/>
          <w:szCs w:val="32"/>
          <w:lang w:val="zh-CN"/>
        </w:rPr>
      </w:pPr>
      <w:r>
        <w:rPr>
          <w:rFonts w:hint="eastAsia" w:ascii="仿宋_GB2312" w:hAnsi="宋体" w:eastAsia="仿宋_GB2312"/>
          <w:sz w:val="32"/>
          <w:szCs w:val="32"/>
          <w:lang w:val="zh-CN"/>
        </w:rPr>
        <w:t>主要依据GB 5009.3《食品安全国家标准  食品中水分的测定》、GB 5009.5《食品安全国家标准  食品中蛋白质的测定》、GB 5009.6《食品安全国家标准  食品中脂肪的测定》、GB 2712《食品安全国家标准  豆制品》、GB 2760《食品安全国家标准  食品添加剂使用标准》、JJF 1070《定量包装商品净含量计量检验规则》的要求进行确定。</w:t>
      </w:r>
    </w:p>
    <w:p w14:paraId="2A3793E9">
      <w:pPr>
        <w:pStyle w:val="30"/>
        <w:numPr>
          <w:ilvl w:val="0"/>
          <w:numId w:val="9"/>
        </w:numPr>
        <w:autoSpaceDE w:val="0"/>
        <w:autoSpaceDN w:val="0"/>
        <w:adjustRightInd w:val="0"/>
        <w:spacing w:before="156" w:beforeLines="50" w:after="156" w:afterLines="50" w:line="560" w:lineRule="exact"/>
        <w:ind w:firstLineChars="0"/>
        <w:jc w:val="left"/>
        <w:rPr>
          <w:rFonts w:ascii="仿宋_GB2312" w:hAnsi="宋体" w:eastAsia="仿宋_GB2312"/>
          <w:b/>
          <w:sz w:val="32"/>
          <w:szCs w:val="32"/>
          <w:lang w:val="zh-CN"/>
        </w:rPr>
      </w:pPr>
      <w:r>
        <w:rPr>
          <w:rFonts w:hint="eastAsia" w:ascii="仿宋_GB2312" w:hAnsi="宋体" w:eastAsia="仿宋_GB2312"/>
          <w:b/>
          <w:sz w:val="32"/>
          <w:szCs w:val="32"/>
          <w:lang w:val="en-US" w:eastAsia="zh-CN"/>
        </w:rPr>
        <w:t>检验规则</w:t>
      </w:r>
    </w:p>
    <w:p w14:paraId="042C01AB">
      <w:pPr>
        <w:ind w:firstLine="640" w:firstLineChars="200"/>
        <w:rPr>
          <w:rFonts w:hint="eastAsia" w:ascii="仿宋_GB2312" w:hAnsi="宋体" w:eastAsia="仿宋_GB2312"/>
          <w:sz w:val="32"/>
          <w:szCs w:val="32"/>
          <w:lang w:val="zh-CN"/>
        </w:rPr>
      </w:pPr>
      <w:r>
        <w:rPr>
          <w:rFonts w:hint="eastAsia" w:ascii="仿宋_GB2312" w:hAnsi="宋体" w:eastAsia="仿宋_GB2312"/>
          <w:sz w:val="32"/>
          <w:szCs w:val="32"/>
          <w:lang w:val="zh-CN"/>
        </w:rPr>
        <w:t>检验规则是在参考GB/T 22106-2008《非发酵豆制品》的基础上，依据钟山红花腐竹产品生产实际确定，包括组批、抽样、出厂检验、判定规则4个部分，其中出厂检验按《豆制品生产许可证审查细则》从感官、净含量进行检验。经过到多个产品钟山红花腐竹生产企业调研，符合生产企业产品出厂检验实际。考虑保证钟山红花腐竹出厂产品的高质量，提升钟山红花腐竹的品牌价值。</w:t>
      </w:r>
    </w:p>
    <w:p w14:paraId="6593C8C9">
      <w:pPr>
        <w:pStyle w:val="30"/>
        <w:numPr>
          <w:ilvl w:val="0"/>
          <w:numId w:val="9"/>
        </w:numPr>
        <w:autoSpaceDE w:val="0"/>
        <w:autoSpaceDN w:val="0"/>
        <w:adjustRightInd w:val="0"/>
        <w:spacing w:before="156" w:beforeLines="50" w:after="156" w:afterLines="50" w:line="560" w:lineRule="exact"/>
        <w:ind w:firstLineChars="0"/>
        <w:jc w:val="left"/>
        <w:rPr>
          <w:rFonts w:ascii="仿宋_GB2312" w:hAnsi="宋体" w:eastAsia="仿宋_GB2312"/>
          <w:b/>
          <w:sz w:val="32"/>
          <w:szCs w:val="32"/>
          <w:lang w:val="zh-CN"/>
        </w:rPr>
      </w:pPr>
      <w:r>
        <w:rPr>
          <w:rFonts w:hint="eastAsia" w:ascii="仿宋_GB2312" w:hAnsi="宋体" w:eastAsia="仿宋_GB2312"/>
          <w:b/>
          <w:sz w:val="32"/>
          <w:szCs w:val="32"/>
          <w:lang w:val="zh-CN"/>
        </w:rPr>
        <w:t>标签、标志、包装、运输和贮存</w:t>
      </w:r>
    </w:p>
    <w:p w14:paraId="525FA27F">
      <w:pPr>
        <w:ind w:firstLine="640" w:firstLineChars="200"/>
        <w:rPr>
          <w:rFonts w:hint="eastAsia" w:ascii="仿宋_GB2312" w:hAnsi="宋体" w:eastAsia="仿宋_GB2312"/>
          <w:sz w:val="32"/>
          <w:szCs w:val="32"/>
          <w:lang w:val="zh-CN"/>
        </w:rPr>
      </w:pPr>
      <w:r>
        <w:rPr>
          <w:rFonts w:hint="eastAsia" w:ascii="仿宋_GB2312" w:hAnsi="宋体" w:eastAsia="仿宋_GB2312"/>
          <w:sz w:val="32"/>
          <w:szCs w:val="32"/>
          <w:lang w:val="zh-CN"/>
        </w:rPr>
        <w:t>标志、标签、包装符合GB 7718《食品安全国家标准  预包装食品标签通则》、GB 28050《食品安全国家标准  预包装食品营养标签通则》、GB/T 191《包装储运图示标志》、GB/T 6543《运输包装用单瓦楞纸箱和双瓦楞纸箱》和《GB 4806.7  食品安全国家标准  食品接触用塑料材料及制品》的</w:t>
      </w:r>
      <w:r>
        <w:rPr>
          <w:rFonts w:hint="eastAsia" w:ascii="仿宋_GB2312" w:hAnsi="宋体" w:eastAsia="仿宋_GB2312"/>
          <w:sz w:val="32"/>
          <w:szCs w:val="32"/>
          <w:lang w:val="en-US" w:eastAsia="zh-CN"/>
        </w:rPr>
        <w:t>相关规定</w:t>
      </w:r>
      <w:r>
        <w:rPr>
          <w:rFonts w:hint="eastAsia" w:ascii="仿宋_GB2312" w:hAnsi="宋体" w:eastAsia="仿宋_GB2312"/>
          <w:sz w:val="32"/>
          <w:szCs w:val="32"/>
          <w:lang w:val="zh-CN"/>
        </w:rPr>
        <w:t>，同时结合钟山红花腐竹产品包装实际进行研讨确定；运输、贮存主要依据实际操作确定，给出了具体要求。产品应贮存在清洁、通风、干燥的场所，应离墙≥20cm、离地≥10cm存放。防潮，防重压，防日晒、防虫鼠害，不应露天存放，不应与有毒有害、有异味的物品同处贮存。主要考虑到钟山红花腐竹在运输途中及贮存过程中能不变质，不受到损坏，保持产品出厂时的高质量状态，以最佳的品相进行售卖。</w:t>
      </w:r>
    </w:p>
    <w:p w14:paraId="77FDF28A">
      <w:pPr>
        <w:ind w:firstLine="640" w:firstLineChars="200"/>
        <w:rPr>
          <w:b/>
          <w:bCs/>
          <w:sz w:val="24"/>
          <w:szCs w:val="28"/>
        </w:rPr>
      </w:pPr>
      <w:r>
        <w:rPr>
          <w:rFonts w:hint="eastAsia" w:ascii="仿宋_GB2312" w:hAnsi="宋体" w:eastAsia="仿宋_GB2312"/>
          <w:sz w:val="32"/>
          <w:szCs w:val="32"/>
          <w:lang w:val="zh-CN"/>
        </w:rPr>
        <w:t>保质期：因不同企业生产制作钟山红花腐竹的产品质量状况有所不同，所以企业可根据自身产品质量状况确定保质期。</w:t>
      </w:r>
    </w:p>
    <w:p w14:paraId="412D30FF">
      <w:pPr>
        <w:autoSpaceDE w:val="0"/>
        <w:autoSpaceDN w:val="0"/>
        <w:adjustRightInd w:val="0"/>
        <w:spacing w:before="156" w:beforeLines="50" w:after="156" w:afterLines="50" w:line="560" w:lineRule="exact"/>
        <w:ind w:firstLine="640" w:firstLineChars="200"/>
        <w:jc w:val="left"/>
        <w:rPr>
          <w:rFonts w:ascii="黑体" w:hAnsi="黑体" w:eastAsia="黑体" w:cs="仿宋_GB2312"/>
          <w:sz w:val="32"/>
          <w:szCs w:val="32"/>
        </w:rPr>
      </w:pPr>
      <w:bookmarkStart w:id="2" w:name="_Toc526940086"/>
      <w:r>
        <w:rPr>
          <w:rFonts w:hint="eastAsia" w:ascii="黑体" w:hAnsi="黑体" w:eastAsia="黑体" w:cs="仿宋_GB2312"/>
          <w:sz w:val="32"/>
          <w:szCs w:val="32"/>
        </w:rPr>
        <w:t>六、</w:t>
      </w:r>
      <w:bookmarkEnd w:id="2"/>
      <w:r>
        <w:rPr>
          <w:rFonts w:hint="eastAsia" w:ascii="黑体" w:hAnsi="黑体" w:eastAsia="黑体" w:cs="仿宋_GB2312"/>
          <w:sz w:val="32"/>
          <w:szCs w:val="32"/>
        </w:rPr>
        <w:t>重大分歧意见的处理经过和依据</w:t>
      </w:r>
    </w:p>
    <w:p w14:paraId="7DBD7D8D">
      <w:pPr>
        <w:spacing w:line="560" w:lineRule="exact"/>
        <w:ind w:firstLine="640" w:firstLineChars="200"/>
        <w:rPr>
          <w:rFonts w:ascii="仿宋_GB2312" w:hAnsi="宋体" w:eastAsia="仿宋_GB2312"/>
          <w:sz w:val="32"/>
          <w:szCs w:val="28"/>
        </w:rPr>
      </w:pPr>
      <w:r>
        <w:rPr>
          <w:rFonts w:hint="eastAsia" w:ascii="仿宋_GB2312" w:hAnsi="宋体" w:eastAsia="仿宋_GB2312"/>
          <w:sz w:val="32"/>
          <w:szCs w:val="28"/>
        </w:rPr>
        <w:t>本标准研制过程中无重大分歧意见。</w:t>
      </w:r>
    </w:p>
    <w:p w14:paraId="69867F09">
      <w:pPr>
        <w:autoSpaceDE w:val="0"/>
        <w:autoSpaceDN w:val="0"/>
        <w:adjustRightInd w:val="0"/>
        <w:spacing w:before="156" w:beforeLines="50" w:after="156" w:afterLines="50" w:line="560" w:lineRule="exact"/>
        <w:ind w:firstLine="640" w:firstLineChars="200"/>
        <w:jc w:val="left"/>
        <w:rPr>
          <w:rFonts w:ascii="黑体" w:hAnsi="黑体" w:eastAsia="黑体" w:cs="仿宋_GB2312"/>
          <w:sz w:val="32"/>
          <w:szCs w:val="32"/>
        </w:rPr>
      </w:pPr>
      <w:r>
        <w:rPr>
          <w:rFonts w:hint="eastAsia" w:ascii="黑体" w:hAnsi="黑体" w:eastAsia="黑体" w:cs="仿宋_GB2312"/>
          <w:sz w:val="32"/>
          <w:szCs w:val="32"/>
        </w:rPr>
        <w:t>七</w:t>
      </w:r>
      <w:r>
        <w:rPr>
          <w:rFonts w:ascii="黑体" w:hAnsi="黑体" w:eastAsia="黑体" w:cs="仿宋_GB2312"/>
          <w:sz w:val="32"/>
          <w:szCs w:val="32"/>
        </w:rPr>
        <w:t>、</w:t>
      </w:r>
      <w:r>
        <w:rPr>
          <w:rFonts w:hint="eastAsia" w:ascii="黑体" w:hAnsi="黑体" w:eastAsia="黑体" w:cs="仿宋_GB2312"/>
          <w:sz w:val="32"/>
          <w:szCs w:val="32"/>
        </w:rPr>
        <w:t>实施标准的措施</w:t>
      </w:r>
    </w:p>
    <w:p w14:paraId="67C45D00">
      <w:pPr>
        <w:spacing w:line="560" w:lineRule="exact"/>
        <w:ind w:firstLine="643" w:firstLineChars="200"/>
        <w:rPr>
          <w:rFonts w:ascii="仿宋_GB2312" w:hAnsi="宋体" w:eastAsia="仿宋_GB2312"/>
          <w:b/>
          <w:sz w:val="32"/>
          <w:szCs w:val="28"/>
        </w:rPr>
      </w:pPr>
      <w:r>
        <w:rPr>
          <w:rFonts w:hint="eastAsia" w:ascii="仿宋_GB2312" w:hAnsi="宋体" w:eastAsia="仿宋_GB2312"/>
          <w:b/>
          <w:sz w:val="32"/>
          <w:szCs w:val="28"/>
        </w:rPr>
        <w:t>（一）标准报批发布后，成立标准宣贯工作组</w:t>
      </w:r>
    </w:p>
    <w:p w14:paraId="7330B5F1">
      <w:pPr>
        <w:spacing w:line="560" w:lineRule="exact"/>
        <w:ind w:firstLine="640" w:firstLineChars="200"/>
        <w:rPr>
          <w:rFonts w:ascii="仿宋_GB2312" w:hAnsi="宋体" w:eastAsia="仿宋_GB2312"/>
          <w:sz w:val="32"/>
          <w:szCs w:val="28"/>
        </w:rPr>
      </w:pPr>
      <w:r>
        <w:rPr>
          <w:rFonts w:hint="eastAsia" w:ascii="仿宋_GB2312" w:hAnsi="宋体" w:eastAsia="仿宋_GB2312"/>
          <w:sz w:val="32"/>
          <w:szCs w:val="28"/>
        </w:rPr>
        <w:t>本标准发布后，成立以主要起草人为成员的标准宣贯工作组，主要负责标准的宣贯实施培训计划制定、标准实施交流会策划、标准实施信息反馈收集和标准实施效果评估等工作，并根据标准实施信息反馈和标准实施效果评估情况，及时组织标准复审修订。</w:t>
      </w:r>
    </w:p>
    <w:p w14:paraId="2EC0E2CD">
      <w:pPr>
        <w:spacing w:line="560" w:lineRule="exact"/>
        <w:ind w:firstLine="643" w:firstLineChars="200"/>
        <w:rPr>
          <w:rFonts w:ascii="仿宋_GB2312" w:hAnsi="宋体" w:eastAsia="仿宋_GB2312"/>
          <w:b/>
          <w:sz w:val="32"/>
          <w:szCs w:val="28"/>
        </w:rPr>
      </w:pPr>
      <w:r>
        <w:rPr>
          <w:rFonts w:hint="eastAsia" w:ascii="仿宋_GB2312" w:hAnsi="宋体" w:eastAsia="仿宋_GB2312"/>
          <w:b/>
          <w:sz w:val="32"/>
          <w:szCs w:val="28"/>
        </w:rPr>
        <w:t>（二）组织开展标准宣贯培训</w:t>
      </w:r>
    </w:p>
    <w:p w14:paraId="38C99CE1">
      <w:pPr>
        <w:spacing w:line="560" w:lineRule="exact"/>
        <w:ind w:firstLine="640" w:firstLineChars="200"/>
        <w:rPr>
          <w:rFonts w:ascii="仿宋_GB2312" w:hAnsi="宋体" w:eastAsia="仿宋_GB2312"/>
          <w:sz w:val="32"/>
          <w:szCs w:val="28"/>
        </w:rPr>
      </w:pPr>
      <w:r>
        <w:rPr>
          <w:rFonts w:hint="eastAsia" w:ascii="仿宋_GB2312" w:hAnsi="宋体" w:eastAsia="仿宋_GB2312"/>
          <w:sz w:val="32"/>
          <w:szCs w:val="28"/>
        </w:rPr>
        <w:t>标准发布实施后，标准宣贯工作小组制作标准解读宣贯培训PPT课件和标准核心技术明白书，并按标准宣贯培训计划深入各市县相关机构、单位开展标准宣贯培训，对标准进行逐条解读，让技术人员掌握标准核心内容，助力标准实施落地。</w:t>
      </w:r>
    </w:p>
    <w:p w14:paraId="29942561">
      <w:pPr>
        <w:spacing w:line="560" w:lineRule="exact"/>
        <w:ind w:firstLine="643" w:firstLineChars="200"/>
        <w:rPr>
          <w:rFonts w:ascii="仿宋_GB2312" w:hAnsi="宋体" w:eastAsia="仿宋_GB2312"/>
          <w:b/>
          <w:sz w:val="32"/>
          <w:szCs w:val="28"/>
        </w:rPr>
      </w:pPr>
      <w:r>
        <w:rPr>
          <w:rFonts w:hint="eastAsia" w:ascii="仿宋_GB2312" w:hAnsi="宋体" w:eastAsia="仿宋_GB2312"/>
          <w:b/>
          <w:sz w:val="32"/>
          <w:szCs w:val="28"/>
        </w:rPr>
        <w:t>（三）开展标准实施交流会，收集标准实施反馈信息</w:t>
      </w:r>
    </w:p>
    <w:p w14:paraId="336AB236">
      <w:pPr>
        <w:spacing w:line="560" w:lineRule="exact"/>
        <w:ind w:firstLine="640" w:firstLineChars="200"/>
        <w:rPr>
          <w:rFonts w:ascii="仿宋_GB2312" w:hAnsi="宋体" w:eastAsia="仿宋_GB2312"/>
          <w:sz w:val="32"/>
          <w:szCs w:val="28"/>
        </w:rPr>
      </w:pPr>
      <w:r>
        <w:rPr>
          <w:rFonts w:hint="eastAsia" w:ascii="仿宋_GB2312" w:hAnsi="宋体" w:eastAsia="仿宋_GB2312"/>
          <w:sz w:val="32"/>
          <w:szCs w:val="28"/>
        </w:rPr>
        <w:t>标准起草小组深入各市县相关机构、单位组织技术人员召开标准实施交流会，听取标准实施过程中存在的问题并做好记录和解答，对存在的问题组织专家团队进行研讨，为标准的复审修订做准备。</w:t>
      </w:r>
    </w:p>
    <w:p w14:paraId="1F438F65">
      <w:pPr>
        <w:spacing w:line="560" w:lineRule="exact"/>
        <w:ind w:firstLine="643" w:firstLineChars="200"/>
        <w:rPr>
          <w:rFonts w:ascii="仿宋_GB2312" w:hAnsi="宋体" w:eastAsia="仿宋_GB2312"/>
          <w:b/>
          <w:sz w:val="32"/>
          <w:szCs w:val="28"/>
        </w:rPr>
      </w:pPr>
      <w:r>
        <w:rPr>
          <w:rFonts w:hint="eastAsia" w:ascii="仿宋_GB2312" w:hAnsi="宋体" w:eastAsia="仿宋_GB2312"/>
          <w:b/>
          <w:sz w:val="32"/>
          <w:szCs w:val="28"/>
        </w:rPr>
        <w:t>（四）开展标准实施效果评估</w:t>
      </w:r>
    </w:p>
    <w:p w14:paraId="7DE0DDFE">
      <w:pPr>
        <w:spacing w:line="560" w:lineRule="exact"/>
        <w:ind w:firstLine="640" w:firstLineChars="200"/>
        <w:rPr>
          <w:rFonts w:ascii="仿宋_GB2312" w:hAnsi="宋体" w:eastAsia="仿宋_GB2312"/>
          <w:sz w:val="32"/>
          <w:szCs w:val="28"/>
        </w:rPr>
      </w:pPr>
      <w:r>
        <w:rPr>
          <w:rFonts w:hint="eastAsia" w:ascii="仿宋_GB2312" w:hAnsi="宋体" w:eastAsia="仿宋_GB2312"/>
          <w:sz w:val="32"/>
          <w:szCs w:val="28"/>
        </w:rPr>
        <w:t>标准实施满2年，每年标准宣贯工作组采取网络调查、问卷调查、实地调研、召开座谈会或论证会、专家咨询等方式开展标准实施效果评估，并形成标准实施效果评估报告，为标准的复审修订做准备。</w:t>
      </w:r>
    </w:p>
    <w:p w14:paraId="36B16457">
      <w:pPr>
        <w:autoSpaceDE w:val="0"/>
        <w:autoSpaceDN w:val="0"/>
        <w:adjustRightInd w:val="0"/>
        <w:spacing w:before="156" w:beforeLines="50" w:after="156" w:afterLines="50" w:line="560" w:lineRule="exact"/>
        <w:ind w:firstLine="640" w:firstLineChars="200"/>
        <w:jc w:val="left"/>
        <w:rPr>
          <w:rFonts w:ascii="黑体" w:hAnsi="黑体" w:eastAsia="黑体" w:cs="仿宋_GB2312"/>
          <w:sz w:val="32"/>
          <w:szCs w:val="32"/>
        </w:rPr>
      </w:pPr>
      <w:r>
        <w:rPr>
          <w:rFonts w:hint="eastAsia" w:ascii="黑体" w:hAnsi="黑体" w:eastAsia="黑体" w:cs="仿宋_GB2312"/>
          <w:sz w:val="32"/>
          <w:szCs w:val="32"/>
        </w:rPr>
        <w:t>八、其他应当说明的事项</w:t>
      </w:r>
    </w:p>
    <w:p w14:paraId="23A53EB2">
      <w:pPr>
        <w:spacing w:line="560" w:lineRule="exact"/>
        <w:ind w:firstLine="640" w:firstLineChars="200"/>
        <w:rPr>
          <w:rFonts w:ascii="仿宋_GB2312" w:hAnsi="宋体" w:eastAsia="仿宋_GB2312"/>
          <w:sz w:val="32"/>
          <w:szCs w:val="28"/>
        </w:rPr>
      </w:pPr>
      <w:r>
        <w:rPr>
          <w:rFonts w:hint="eastAsia" w:ascii="仿宋_GB2312" w:hAnsi="宋体" w:eastAsia="仿宋_GB2312"/>
          <w:sz w:val="32"/>
          <w:szCs w:val="28"/>
        </w:rPr>
        <w:t>无。</w:t>
      </w:r>
    </w:p>
    <w:p w14:paraId="1562F1AF">
      <w:pPr>
        <w:spacing w:line="560" w:lineRule="exact"/>
        <w:rPr>
          <w:rFonts w:ascii="仿宋_GB2312" w:hAnsi="仿宋" w:eastAsia="仿宋_GB2312"/>
          <w:bCs/>
          <w:color w:val="000000"/>
          <w:sz w:val="36"/>
          <w:szCs w:val="32"/>
        </w:rPr>
      </w:pPr>
    </w:p>
    <w:p w14:paraId="0FDE70D6">
      <w:pPr>
        <w:spacing w:line="560" w:lineRule="exact"/>
        <w:rPr>
          <w:rFonts w:ascii="仿宋_GB2312" w:hAnsi="仿宋" w:eastAsia="仿宋_GB2312"/>
          <w:bCs/>
          <w:color w:val="000000"/>
          <w:sz w:val="36"/>
          <w:szCs w:val="32"/>
        </w:rPr>
      </w:pPr>
    </w:p>
    <w:p w14:paraId="639B864D">
      <w:pPr>
        <w:wordWrap w:val="0"/>
        <w:spacing w:line="560" w:lineRule="exact"/>
        <w:jc w:val="right"/>
        <w:rPr>
          <w:rFonts w:ascii="仿宋_GB2312" w:hAnsi="宋体" w:eastAsia="仿宋_GB2312"/>
          <w:sz w:val="32"/>
          <w:szCs w:val="28"/>
        </w:rPr>
      </w:pPr>
      <w:r>
        <w:rPr>
          <w:rFonts w:hint="eastAsia" w:ascii="仿宋_GB2312" w:hAnsi="宋体" w:eastAsia="仿宋_GB2312"/>
          <w:sz w:val="32"/>
          <w:szCs w:val="28"/>
        </w:rPr>
        <w:t xml:space="preserve"> 团体标准《</w:t>
      </w:r>
      <w:r>
        <w:rPr>
          <w:rFonts w:hint="eastAsia" w:ascii="仿宋_GB2312" w:hAnsi="宋体" w:eastAsia="仿宋_GB2312"/>
          <w:sz w:val="32"/>
          <w:szCs w:val="28"/>
          <w:lang w:eastAsia="zh-CN"/>
        </w:rPr>
        <w:t>钟山红花腐竹</w:t>
      </w:r>
      <w:r>
        <w:rPr>
          <w:rFonts w:hint="eastAsia" w:ascii="仿宋_GB2312" w:hAnsi="宋体" w:eastAsia="仿宋_GB2312"/>
          <w:sz w:val="32"/>
          <w:szCs w:val="28"/>
        </w:rPr>
        <w:t>》</w:t>
      </w:r>
    </w:p>
    <w:p w14:paraId="607C1987">
      <w:pPr>
        <w:wordWrap w:val="0"/>
        <w:spacing w:line="560" w:lineRule="exact"/>
        <w:jc w:val="right"/>
        <w:rPr>
          <w:rFonts w:ascii="仿宋_GB2312" w:hAnsi="宋体" w:eastAsia="仿宋_GB2312"/>
          <w:color w:val="auto"/>
          <w:sz w:val="32"/>
          <w:szCs w:val="28"/>
        </w:rPr>
      </w:pPr>
      <w:r>
        <w:rPr>
          <w:rFonts w:hint="eastAsia" w:ascii="仿宋_GB2312" w:hAnsi="宋体" w:eastAsia="仿宋_GB2312"/>
          <w:color w:val="auto"/>
          <w:sz w:val="32"/>
          <w:szCs w:val="28"/>
        </w:rPr>
        <w:t xml:space="preserve">标准编制工作组 </w:t>
      </w:r>
      <w:r>
        <w:rPr>
          <w:rFonts w:ascii="仿宋_GB2312" w:hAnsi="宋体" w:eastAsia="仿宋_GB2312"/>
          <w:color w:val="auto"/>
          <w:sz w:val="32"/>
          <w:szCs w:val="28"/>
        </w:rPr>
        <w:t xml:space="preserve">        </w:t>
      </w:r>
    </w:p>
    <w:p w14:paraId="78DEAFAE">
      <w:pPr>
        <w:wordWrap w:val="0"/>
        <w:spacing w:line="560" w:lineRule="exact"/>
        <w:jc w:val="right"/>
        <w:rPr>
          <w:rFonts w:ascii="仿宋_GB2312" w:hAnsi="宋体" w:eastAsia="仿宋_GB2312"/>
          <w:color w:val="FF0000"/>
          <w:sz w:val="32"/>
          <w:szCs w:val="28"/>
        </w:rPr>
      </w:pPr>
      <w:r>
        <w:rPr>
          <w:rFonts w:hint="eastAsia" w:ascii="仿宋_GB2312" w:hAnsi="宋体" w:eastAsia="仿宋_GB2312"/>
          <w:color w:val="auto"/>
          <w:sz w:val="32"/>
          <w:szCs w:val="28"/>
        </w:rPr>
        <w:t>202</w:t>
      </w:r>
      <w:r>
        <w:rPr>
          <w:rFonts w:ascii="仿宋_GB2312" w:hAnsi="宋体" w:eastAsia="仿宋_GB2312"/>
          <w:color w:val="auto"/>
          <w:sz w:val="32"/>
          <w:szCs w:val="28"/>
        </w:rPr>
        <w:t>4</w:t>
      </w:r>
      <w:r>
        <w:rPr>
          <w:rFonts w:hint="eastAsia" w:ascii="仿宋_GB2312" w:hAnsi="宋体" w:eastAsia="仿宋_GB2312"/>
          <w:color w:val="auto"/>
          <w:sz w:val="32"/>
          <w:szCs w:val="28"/>
        </w:rPr>
        <w:t>年</w:t>
      </w:r>
      <w:r>
        <w:rPr>
          <w:rFonts w:hint="eastAsia" w:ascii="仿宋_GB2312" w:hAnsi="宋体" w:eastAsia="仿宋_GB2312"/>
          <w:color w:val="auto"/>
          <w:sz w:val="32"/>
          <w:szCs w:val="28"/>
          <w:lang w:val="en-US" w:eastAsia="zh-CN"/>
        </w:rPr>
        <w:t>10</w:t>
      </w:r>
      <w:r>
        <w:rPr>
          <w:rFonts w:hint="eastAsia" w:ascii="仿宋_GB2312" w:hAnsi="宋体" w:eastAsia="仿宋_GB2312"/>
          <w:color w:val="auto"/>
          <w:sz w:val="32"/>
          <w:szCs w:val="28"/>
        </w:rPr>
        <w:t>月</w:t>
      </w:r>
      <w:r>
        <w:rPr>
          <w:rFonts w:ascii="仿宋_GB2312" w:hAnsi="宋体" w:eastAsia="仿宋_GB2312"/>
          <w:color w:val="auto"/>
          <w:sz w:val="32"/>
          <w:szCs w:val="28"/>
        </w:rPr>
        <w:t>20</w:t>
      </w:r>
      <w:r>
        <w:rPr>
          <w:rFonts w:hint="eastAsia" w:ascii="仿宋_GB2312" w:hAnsi="宋体" w:eastAsia="仿宋_GB2312"/>
          <w:color w:val="auto"/>
          <w:sz w:val="32"/>
          <w:szCs w:val="28"/>
        </w:rPr>
        <w:t xml:space="preserve">日    </w:t>
      </w:r>
      <w:r>
        <w:rPr>
          <w:rFonts w:hint="eastAsia" w:ascii="仿宋_GB2312" w:hAnsi="宋体" w:eastAsia="仿宋_GB2312"/>
          <w:color w:val="FF0000"/>
          <w:sz w:val="32"/>
          <w:szCs w:val="28"/>
        </w:rPr>
        <w:t xml:space="preserve">   </w:t>
      </w:r>
      <w:r>
        <w:rPr>
          <w:rFonts w:ascii="仿宋_GB2312" w:hAnsi="宋体" w:eastAsia="仿宋_GB2312"/>
          <w:color w:val="FF0000"/>
          <w:sz w:val="32"/>
          <w:szCs w:val="28"/>
        </w:rPr>
        <w:t xml:space="preserve"> </w:t>
      </w:r>
    </w:p>
    <w:sectPr>
      <w:footerReference r:id="rId3" w:type="default"/>
      <w:pgSz w:w="11906" w:h="16838"/>
      <w:pgMar w:top="1474" w:right="1474" w:bottom="1474"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3316374"/>
      <w:docPartObj>
        <w:docPartGallery w:val="autotext"/>
      </w:docPartObj>
    </w:sdtPr>
    <w:sdtContent>
      <w:p w14:paraId="2BE1229F">
        <w:pPr>
          <w:pStyle w:val="4"/>
          <w:jc w:val="center"/>
        </w:pPr>
        <w:r>
          <w:fldChar w:fldCharType="begin"/>
        </w:r>
        <w:r>
          <w:instrText xml:space="preserve">PAGE   \* MERGEFORMAT</w:instrText>
        </w:r>
        <w:r>
          <w:fldChar w:fldCharType="separate"/>
        </w:r>
        <w:r>
          <w:rPr>
            <w:lang w:val="zh-CN"/>
          </w:rPr>
          <w:t>7</w:t>
        </w:r>
        <w:r>
          <w:fldChar w:fldCharType="end"/>
        </w:r>
      </w:p>
    </w:sdtContent>
  </w:sdt>
  <w:p w14:paraId="76F9E80E">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9102AD"/>
    <w:multiLevelType w:val="multilevel"/>
    <w:tmpl w:val="079102AD"/>
    <w:lvl w:ilvl="0" w:tentative="0">
      <w:start w:val="1"/>
      <w:numFmt w:val="decimal"/>
      <w:pStyle w:val="21"/>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0DDE2B46"/>
    <w:multiLevelType w:val="multilevel"/>
    <w:tmpl w:val="0DDE2B46"/>
    <w:lvl w:ilvl="0" w:tentative="0">
      <w:start w:val="1"/>
      <w:numFmt w:val="lowerLetter"/>
      <w:pStyle w:val="25"/>
      <w:suff w:val="nothing"/>
      <w:lvlText w:val="%1   "/>
      <w:lvlJc w:val="left"/>
      <w:pPr>
        <w:ind w:left="544" w:hanging="181"/>
      </w:pPr>
      <w:rPr>
        <w:rFonts w:hint="eastAsia" w:ascii="宋体" w:hAns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2">
    <w:nsid w:val="120F0D74"/>
    <w:multiLevelType w:val="multilevel"/>
    <w:tmpl w:val="120F0D74"/>
    <w:lvl w:ilvl="0" w:tentative="0">
      <w:start w:val="1"/>
      <w:numFmt w:val="japaneseCounting"/>
      <w:lvlText w:val="（%1）"/>
      <w:lvlJc w:val="left"/>
      <w:pPr>
        <w:ind w:left="1005" w:hanging="100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1DBF583A"/>
    <w:multiLevelType w:val="multilevel"/>
    <w:tmpl w:val="1DBF583A"/>
    <w:lvl w:ilvl="0" w:tentative="0">
      <w:start w:val="1"/>
      <w:numFmt w:val="decimal"/>
      <w:pStyle w:val="24"/>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4">
    <w:nsid w:val="1FC91163"/>
    <w:multiLevelType w:val="multilevel"/>
    <w:tmpl w:val="1FC91163"/>
    <w:lvl w:ilvl="0" w:tentative="0">
      <w:start w:val="1"/>
      <w:numFmt w:val="decimal"/>
      <w:pStyle w:val="16"/>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15"/>
      <w:suff w:val="nothing"/>
      <w:lvlText w:val="%1.%2　"/>
      <w:lvlJc w:val="left"/>
      <w:pPr>
        <w:ind w:left="525"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17"/>
      <w:suff w:val="nothing"/>
      <w:lvlText w:val="%1.%2.%3　"/>
      <w:lvlJc w:val="left"/>
      <w:pPr>
        <w:ind w:left="0" w:firstLine="0"/>
      </w:pPr>
      <w:rPr>
        <w:rFonts w:hint="eastAsia" w:ascii="黑体" w:hAnsi="Times New Roman" w:eastAsia="黑体"/>
        <w:b w:val="0"/>
        <w:i w:val="0"/>
        <w:sz w:val="21"/>
      </w:rPr>
    </w:lvl>
    <w:lvl w:ilvl="3" w:tentative="0">
      <w:start w:val="1"/>
      <w:numFmt w:val="decimal"/>
      <w:pStyle w:val="18"/>
      <w:suff w:val="nothing"/>
      <w:lvlText w:val="%1.%2.%3.%4　"/>
      <w:lvlJc w:val="left"/>
      <w:pPr>
        <w:ind w:left="0" w:firstLine="0"/>
      </w:pPr>
      <w:rPr>
        <w:rFonts w:hint="eastAsia" w:ascii="黑体" w:hAnsi="Times New Roman" w:eastAsia="黑体"/>
        <w:b w:val="0"/>
        <w:i w:val="0"/>
        <w:sz w:val="21"/>
      </w:rPr>
    </w:lvl>
    <w:lvl w:ilvl="4" w:tentative="0">
      <w:start w:val="1"/>
      <w:numFmt w:val="decimal"/>
      <w:pStyle w:val="19"/>
      <w:suff w:val="nothing"/>
      <w:lvlText w:val="%1.%2.%3.%4.%5　"/>
      <w:lvlJc w:val="left"/>
      <w:pPr>
        <w:ind w:left="0" w:firstLine="0"/>
      </w:pPr>
      <w:rPr>
        <w:rFonts w:hint="eastAsia" w:ascii="黑体" w:hAnsi="Times New Roman" w:eastAsia="黑体"/>
        <w:b w:val="0"/>
        <w:i w:val="0"/>
        <w:sz w:val="21"/>
      </w:rPr>
    </w:lvl>
    <w:lvl w:ilvl="5" w:tentative="0">
      <w:start w:val="1"/>
      <w:numFmt w:val="decimal"/>
      <w:pStyle w:val="20"/>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5">
    <w:nsid w:val="2A8F7113"/>
    <w:multiLevelType w:val="multilevel"/>
    <w:tmpl w:val="2A8F7113"/>
    <w:lvl w:ilvl="0" w:tentative="0">
      <w:start w:val="1"/>
      <w:numFmt w:val="upperLetter"/>
      <w:pStyle w:val="22"/>
      <w:suff w:val="space"/>
      <w:lvlText w:val="%1"/>
      <w:lvlJc w:val="left"/>
      <w:pPr>
        <w:ind w:left="623" w:hanging="425"/>
      </w:pPr>
      <w:rPr>
        <w:rFonts w:hint="eastAsia"/>
      </w:rPr>
    </w:lvl>
    <w:lvl w:ilvl="1" w:tentative="0">
      <w:start w:val="1"/>
      <w:numFmt w:val="decimal"/>
      <w:pStyle w:val="23"/>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6">
    <w:nsid w:val="557C2AF5"/>
    <w:multiLevelType w:val="multilevel"/>
    <w:tmpl w:val="557C2AF5"/>
    <w:lvl w:ilvl="0" w:tentative="0">
      <w:start w:val="1"/>
      <w:numFmt w:val="decimal"/>
      <w:pStyle w:val="14"/>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7">
    <w:nsid w:val="60B55DC2"/>
    <w:multiLevelType w:val="multilevel"/>
    <w:tmpl w:val="60B55DC2"/>
    <w:lvl w:ilvl="0" w:tentative="0">
      <w:start w:val="1"/>
      <w:numFmt w:val="upperLetter"/>
      <w:lvlText w:val="%1"/>
      <w:lvlJc w:val="left"/>
      <w:pPr>
        <w:tabs>
          <w:tab w:val="left" w:pos="0"/>
        </w:tabs>
        <w:ind w:left="0" w:hanging="425"/>
      </w:pPr>
      <w:rPr>
        <w:rFonts w:hint="eastAsia"/>
      </w:rPr>
    </w:lvl>
    <w:lvl w:ilvl="1" w:tentative="0">
      <w:start w:val="1"/>
      <w:numFmt w:val="decimal"/>
      <w:pStyle w:val="29"/>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8">
    <w:nsid w:val="646260FA"/>
    <w:multiLevelType w:val="multilevel"/>
    <w:tmpl w:val="646260FA"/>
    <w:lvl w:ilvl="0" w:tentative="0">
      <w:start w:val="1"/>
      <w:numFmt w:val="decimal"/>
      <w:pStyle w:val="13"/>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num w:numId="1">
    <w:abstractNumId w:val="8"/>
  </w:num>
  <w:num w:numId="2">
    <w:abstractNumId w:val="6"/>
  </w:num>
  <w:num w:numId="3">
    <w:abstractNumId w:val="4"/>
  </w:num>
  <w:num w:numId="4">
    <w:abstractNumId w:val="0"/>
  </w:num>
  <w:num w:numId="5">
    <w:abstractNumId w:val="5"/>
  </w:num>
  <w:num w:numId="6">
    <w:abstractNumId w:val="3"/>
  </w:num>
  <w:num w:numId="7">
    <w:abstractNumId w:val="1"/>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kyMDFmZTBlNTQ5MGM0YTA0MzQ2Y2Y5ODE1OGMxMWQifQ=="/>
  </w:docVars>
  <w:rsids>
    <w:rsidRoot w:val="0042062E"/>
    <w:rsid w:val="0000457E"/>
    <w:rsid w:val="00005CA4"/>
    <w:rsid w:val="000107BC"/>
    <w:rsid w:val="00013090"/>
    <w:rsid w:val="00016837"/>
    <w:rsid w:val="00021331"/>
    <w:rsid w:val="00023119"/>
    <w:rsid w:val="00023FE2"/>
    <w:rsid w:val="00024212"/>
    <w:rsid w:val="00024664"/>
    <w:rsid w:val="00032CD6"/>
    <w:rsid w:val="00033257"/>
    <w:rsid w:val="00034233"/>
    <w:rsid w:val="00034BDB"/>
    <w:rsid w:val="00047D7B"/>
    <w:rsid w:val="00053B0B"/>
    <w:rsid w:val="000576D0"/>
    <w:rsid w:val="00057758"/>
    <w:rsid w:val="00060FE2"/>
    <w:rsid w:val="0007330D"/>
    <w:rsid w:val="00073F72"/>
    <w:rsid w:val="00074EB1"/>
    <w:rsid w:val="00076BBA"/>
    <w:rsid w:val="00080F2F"/>
    <w:rsid w:val="0008145A"/>
    <w:rsid w:val="0009177A"/>
    <w:rsid w:val="00093E74"/>
    <w:rsid w:val="000962F6"/>
    <w:rsid w:val="000A0201"/>
    <w:rsid w:val="000A1EAE"/>
    <w:rsid w:val="000A3070"/>
    <w:rsid w:val="000A4601"/>
    <w:rsid w:val="000A77CD"/>
    <w:rsid w:val="000B572A"/>
    <w:rsid w:val="000D0ACE"/>
    <w:rsid w:val="000D15BE"/>
    <w:rsid w:val="000D5AC8"/>
    <w:rsid w:val="000D6612"/>
    <w:rsid w:val="000D751C"/>
    <w:rsid w:val="000D7F33"/>
    <w:rsid w:val="000F10EB"/>
    <w:rsid w:val="000F3365"/>
    <w:rsid w:val="000F517A"/>
    <w:rsid w:val="001012D5"/>
    <w:rsid w:val="00101D2E"/>
    <w:rsid w:val="00103B83"/>
    <w:rsid w:val="00105252"/>
    <w:rsid w:val="001062E3"/>
    <w:rsid w:val="00106661"/>
    <w:rsid w:val="0010769F"/>
    <w:rsid w:val="00110864"/>
    <w:rsid w:val="00110F43"/>
    <w:rsid w:val="00112415"/>
    <w:rsid w:val="00113B53"/>
    <w:rsid w:val="00114946"/>
    <w:rsid w:val="00122573"/>
    <w:rsid w:val="00126CA6"/>
    <w:rsid w:val="001273E7"/>
    <w:rsid w:val="00127EB0"/>
    <w:rsid w:val="00131B03"/>
    <w:rsid w:val="00132C5F"/>
    <w:rsid w:val="00133786"/>
    <w:rsid w:val="00134DD4"/>
    <w:rsid w:val="001435D3"/>
    <w:rsid w:val="001449B5"/>
    <w:rsid w:val="001463AC"/>
    <w:rsid w:val="0015152A"/>
    <w:rsid w:val="00156020"/>
    <w:rsid w:val="00156663"/>
    <w:rsid w:val="001611BB"/>
    <w:rsid w:val="00167167"/>
    <w:rsid w:val="001708F8"/>
    <w:rsid w:val="0018112C"/>
    <w:rsid w:val="00183467"/>
    <w:rsid w:val="00190A64"/>
    <w:rsid w:val="00190C6A"/>
    <w:rsid w:val="00191774"/>
    <w:rsid w:val="00191DCE"/>
    <w:rsid w:val="001923CF"/>
    <w:rsid w:val="001925FD"/>
    <w:rsid w:val="001930A1"/>
    <w:rsid w:val="00194FE3"/>
    <w:rsid w:val="00196054"/>
    <w:rsid w:val="0019711F"/>
    <w:rsid w:val="001A0DBF"/>
    <w:rsid w:val="001A3402"/>
    <w:rsid w:val="001B0E92"/>
    <w:rsid w:val="001B36E5"/>
    <w:rsid w:val="001B3B17"/>
    <w:rsid w:val="001C5F01"/>
    <w:rsid w:val="001C793C"/>
    <w:rsid w:val="001D22F0"/>
    <w:rsid w:val="001D64DB"/>
    <w:rsid w:val="001D7816"/>
    <w:rsid w:val="001E5000"/>
    <w:rsid w:val="001F07A8"/>
    <w:rsid w:val="001F16E6"/>
    <w:rsid w:val="001F241E"/>
    <w:rsid w:val="001F537A"/>
    <w:rsid w:val="001F660A"/>
    <w:rsid w:val="001F79F5"/>
    <w:rsid w:val="001F7E35"/>
    <w:rsid w:val="00205603"/>
    <w:rsid w:val="00210916"/>
    <w:rsid w:val="002116FB"/>
    <w:rsid w:val="00214221"/>
    <w:rsid w:val="00217683"/>
    <w:rsid w:val="002223DD"/>
    <w:rsid w:val="002231E8"/>
    <w:rsid w:val="00223EB7"/>
    <w:rsid w:val="00224EB8"/>
    <w:rsid w:val="00231E62"/>
    <w:rsid w:val="00232769"/>
    <w:rsid w:val="00244ADA"/>
    <w:rsid w:val="00244C0C"/>
    <w:rsid w:val="002465C7"/>
    <w:rsid w:val="002526F3"/>
    <w:rsid w:val="00254F7A"/>
    <w:rsid w:val="00256FE0"/>
    <w:rsid w:val="002614C6"/>
    <w:rsid w:val="002621E1"/>
    <w:rsid w:val="00262753"/>
    <w:rsid w:val="00262771"/>
    <w:rsid w:val="00262F6C"/>
    <w:rsid w:val="00264A7D"/>
    <w:rsid w:val="00264CE4"/>
    <w:rsid w:val="002651A9"/>
    <w:rsid w:val="00266090"/>
    <w:rsid w:val="0027235B"/>
    <w:rsid w:val="00283085"/>
    <w:rsid w:val="00283E25"/>
    <w:rsid w:val="0029084D"/>
    <w:rsid w:val="00291D7F"/>
    <w:rsid w:val="00291EF3"/>
    <w:rsid w:val="002952AC"/>
    <w:rsid w:val="002A2FCF"/>
    <w:rsid w:val="002A4D06"/>
    <w:rsid w:val="002A5D80"/>
    <w:rsid w:val="002B07E3"/>
    <w:rsid w:val="002B23AB"/>
    <w:rsid w:val="002B2E35"/>
    <w:rsid w:val="002B3D69"/>
    <w:rsid w:val="002B5497"/>
    <w:rsid w:val="002C1D2A"/>
    <w:rsid w:val="002C4FFB"/>
    <w:rsid w:val="002C5534"/>
    <w:rsid w:val="002C611B"/>
    <w:rsid w:val="002C73B6"/>
    <w:rsid w:val="002D49CC"/>
    <w:rsid w:val="002D6D1E"/>
    <w:rsid w:val="002E073F"/>
    <w:rsid w:val="002E7467"/>
    <w:rsid w:val="002E7A35"/>
    <w:rsid w:val="002F34AA"/>
    <w:rsid w:val="002F4B59"/>
    <w:rsid w:val="002F4D7B"/>
    <w:rsid w:val="002F513F"/>
    <w:rsid w:val="002F613B"/>
    <w:rsid w:val="003025DF"/>
    <w:rsid w:val="00303E23"/>
    <w:rsid w:val="00304BFD"/>
    <w:rsid w:val="00306925"/>
    <w:rsid w:val="0031011D"/>
    <w:rsid w:val="003144B8"/>
    <w:rsid w:val="00314640"/>
    <w:rsid w:val="00327623"/>
    <w:rsid w:val="0033375C"/>
    <w:rsid w:val="0034090F"/>
    <w:rsid w:val="00343C24"/>
    <w:rsid w:val="00345BCC"/>
    <w:rsid w:val="00353735"/>
    <w:rsid w:val="00354D06"/>
    <w:rsid w:val="00356D19"/>
    <w:rsid w:val="00357A1D"/>
    <w:rsid w:val="00357E18"/>
    <w:rsid w:val="0036001E"/>
    <w:rsid w:val="00360952"/>
    <w:rsid w:val="00362F10"/>
    <w:rsid w:val="00365252"/>
    <w:rsid w:val="00372A01"/>
    <w:rsid w:val="00372C98"/>
    <w:rsid w:val="00373BAD"/>
    <w:rsid w:val="00374390"/>
    <w:rsid w:val="003754CF"/>
    <w:rsid w:val="00381796"/>
    <w:rsid w:val="00382AB2"/>
    <w:rsid w:val="00386647"/>
    <w:rsid w:val="00391984"/>
    <w:rsid w:val="00392E22"/>
    <w:rsid w:val="00396025"/>
    <w:rsid w:val="003B2F32"/>
    <w:rsid w:val="003B5050"/>
    <w:rsid w:val="003B729F"/>
    <w:rsid w:val="003C2D44"/>
    <w:rsid w:val="003C483D"/>
    <w:rsid w:val="003D3AF0"/>
    <w:rsid w:val="003D48B6"/>
    <w:rsid w:val="003D51D0"/>
    <w:rsid w:val="003D5CB5"/>
    <w:rsid w:val="003D6E58"/>
    <w:rsid w:val="003E330B"/>
    <w:rsid w:val="003E4A86"/>
    <w:rsid w:val="003F284D"/>
    <w:rsid w:val="003F28D0"/>
    <w:rsid w:val="003F3119"/>
    <w:rsid w:val="003F392A"/>
    <w:rsid w:val="003F3AAC"/>
    <w:rsid w:val="003F727B"/>
    <w:rsid w:val="0040035D"/>
    <w:rsid w:val="00403F64"/>
    <w:rsid w:val="00404BD1"/>
    <w:rsid w:val="004050BE"/>
    <w:rsid w:val="0040610D"/>
    <w:rsid w:val="00406A80"/>
    <w:rsid w:val="0042062E"/>
    <w:rsid w:val="00424AF1"/>
    <w:rsid w:val="00424FCB"/>
    <w:rsid w:val="00425860"/>
    <w:rsid w:val="00427B81"/>
    <w:rsid w:val="00434E46"/>
    <w:rsid w:val="00434F90"/>
    <w:rsid w:val="004378E4"/>
    <w:rsid w:val="0044118D"/>
    <w:rsid w:val="004441BD"/>
    <w:rsid w:val="004503F4"/>
    <w:rsid w:val="0045483D"/>
    <w:rsid w:val="00455661"/>
    <w:rsid w:val="0046025A"/>
    <w:rsid w:val="00460359"/>
    <w:rsid w:val="004605D8"/>
    <w:rsid w:val="004626AF"/>
    <w:rsid w:val="00465230"/>
    <w:rsid w:val="00467DEF"/>
    <w:rsid w:val="004715D8"/>
    <w:rsid w:val="004805D0"/>
    <w:rsid w:val="00480BA1"/>
    <w:rsid w:val="004814A9"/>
    <w:rsid w:val="0048357F"/>
    <w:rsid w:val="00484EF3"/>
    <w:rsid w:val="00485212"/>
    <w:rsid w:val="004865C9"/>
    <w:rsid w:val="0049011A"/>
    <w:rsid w:val="00491FE3"/>
    <w:rsid w:val="0049241F"/>
    <w:rsid w:val="0049390C"/>
    <w:rsid w:val="004A25C4"/>
    <w:rsid w:val="004A2878"/>
    <w:rsid w:val="004A614E"/>
    <w:rsid w:val="004A660C"/>
    <w:rsid w:val="004A76AB"/>
    <w:rsid w:val="004B2E7F"/>
    <w:rsid w:val="004C4136"/>
    <w:rsid w:val="004D155D"/>
    <w:rsid w:val="004D2302"/>
    <w:rsid w:val="004D5B22"/>
    <w:rsid w:val="004E3026"/>
    <w:rsid w:val="004F0593"/>
    <w:rsid w:val="004F48C2"/>
    <w:rsid w:val="004F74F0"/>
    <w:rsid w:val="004F7FA9"/>
    <w:rsid w:val="005009D1"/>
    <w:rsid w:val="0050156A"/>
    <w:rsid w:val="00505469"/>
    <w:rsid w:val="005066ED"/>
    <w:rsid w:val="005067C2"/>
    <w:rsid w:val="0051028F"/>
    <w:rsid w:val="0051148B"/>
    <w:rsid w:val="00513080"/>
    <w:rsid w:val="00514C97"/>
    <w:rsid w:val="005159F5"/>
    <w:rsid w:val="00526200"/>
    <w:rsid w:val="005269CF"/>
    <w:rsid w:val="00533886"/>
    <w:rsid w:val="0053418A"/>
    <w:rsid w:val="00535AC6"/>
    <w:rsid w:val="00537550"/>
    <w:rsid w:val="0054317B"/>
    <w:rsid w:val="00546DEA"/>
    <w:rsid w:val="005639F8"/>
    <w:rsid w:val="005656AA"/>
    <w:rsid w:val="005742DB"/>
    <w:rsid w:val="00577C08"/>
    <w:rsid w:val="005802BD"/>
    <w:rsid w:val="0058151C"/>
    <w:rsid w:val="00581CE7"/>
    <w:rsid w:val="00582F5C"/>
    <w:rsid w:val="0058472C"/>
    <w:rsid w:val="005870E5"/>
    <w:rsid w:val="005873D6"/>
    <w:rsid w:val="005876DE"/>
    <w:rsid w:val="00596702"/>
    <w:rsid w:val="005A1A17"/>
    <w:rsid w:val="005A4523"/>
    <w:rsid w:val="005A4707"/>
    <w:rsid w:val="005B0CDC"/>
    <w:rsid w:val="005B23F7"/>
    <w:rsid w:val="005B7128"/>
    <w:rsid w:val="005B76D5"/>
    <w:rsid w:val="005B7B7E"/>
    <w:rsid w:val="005C468E"/>
    <w:rsid w:val="005D06D6"/>
    <w:rsid w:val="005D1EE1"/>
    <w:rsid w:val="005D2762"/>
    <w:rsid w:val="005D2AEE"/>
    <w:rsid w:val="005D3F96"/>
    <w:rsid w:val="005D5DDF"/>
    <w:rsid w:val="005D6A5C"/>
    <w:rsid w:val="005E05D4"/>
    <w:rsid w:val="005E207A"/>
    <w:rsid w:val="005E2143"/>
    <w:rsid w:val="005F0995"/>
    <w:rsid w:val="005F1E35"/>
    <w:rsid w:val="005F36D9"/>
    <w:rsid w:val="005F4F92"/>
    <w:rsid w:val="005F6C71"/>
    <w:rsid w:val="005F71EC"/>
    <w:rsid w:val="005F7613"/>
    <w:rsid w:val="006062AE"/>
    <w:rsid w:val="0060656D"/>
    <w:rsid w:val="00606B5A"/>
    <w:rsid w:val="00610884"/>
    <w:rsid w:val="00614347"/>
    <w:rsid w:val="006147DA"/>
    <w:rsid w:val="0062702A"/>
    <w:rsid w:val="00636DF8"/>
    <w:rsid w:val="006404F1"/>
    <w:rsid w:val="0064449B"/>
    <w:rsid w:val="00644EED"/>
    <w:rsid w:val="006467C4"/>
    <w:rsid w:val="00651C9C"/>
    <w:rsid w:val="00654D8C"/>
    <w:rsid w:val="006555D8"/>
    <w:rsid w:val="00655638"/>
    <w:rsid w:val="006610FC"/>
    <w:rsid w:val="0066440C"/>
    <w:rsid w:val="00664832"/>
    <w:rsid w:val="006670DB"/>
    <w:rsid w:val="00667C57"/>
    <w:rsid w:val="0067586A"/>
    <w:rsid w:val="00680EEB"/>
    <w:rsid w:val="006811BF"/>
    <w:rsid w:val="00681C0F"/>
    <w:rsid w:val="00682D7C"/>
    <w:rsid w:val="00682FAD"/>
    <w:rsid w:val="0068494D"/>
    <w:rsid w:val="00690D6C"/>
    <w:rsid w:val="006945D3"/>
    <w:rsid w:val="006A1BD7"/>
    <w:rsid w:val="006A3112"/>
    <w:rsid w:val="006B1080"/>
    <w:rsid w:val="006B6EA3"/>
    <w:rsid w:val="006C0CC1"/>
    <w:rsid w:val="006C6B87"/>
    <w:rsid w:val="006C70ED"/>
    <w:rsid w:val="006D4B56"/>
    <w:rsid w:val="006D4CCC"/>
    <w:rsid w:val="006D5D5F"/>
    <w:rsid w:val="006E155C"/>
    <w:rsid w:val="006E65EC"/>
    <w:rsid w:val="006E7520"/>
    <w:rsid w:val="006F03ED"/>
    <w:rsid w:val="006F67E6"/>
    <w:rsid w:val="006F77F7"/>
    <w:rsid w:val="00700D32"/>
    <w:rsid w:val="0070138D"/>
    <w:rsid w:val="00701A2B"/>
    <w:rsid w:val="0070266E"/>
    <w:rsid w:val="00705429"/>
    <w:rsid w:val="0070730B"/>
    <w:rsid w:val="00712BC5"/>
    <w:rsid w:val="00715CA4"/>
    <w:rsid w:val="00716EAC"/>
    <w:rsid w:val="00720395"/>
    <w:rsid w:val="00722AAE"/>
    <w:rsid w:val="0072448B"/>
    <w:rsid w:val="007245EF"/>
    <w:rsid w:val="00726016"/>
    <w:rsid w:val="00726F82"/>
    <w:rsid w:val="007432F4"/>
    <w:rsid w:val="0075401E"/>
    <w:rsid w:val="00755471"/>
    <w:rsid w:val="007556A8"/>
    <w:rsid w:val="00756686"/>
    <w:rsid w:val="00760DDA"/>
    <w:rsid w:val="00760FBD"/>
    <w:rsid w:val="007768A2"/>
    <w:rsid w:val="00776FE6"/>
    <w:rsid w:val="007812EA"/>
    <w:rsid w:val="00781F1A"/>
    <w:rsid w:val="00782C84"/>
    <w:rsid w:val="00784D8F"/>
    <w:rsid w:val="007912E9"/>
    <w:rsid w:val="007923BD"/>
    <w:rsid w:val="00793820"/>
    <w:rsid w:val="00797654"/>
    <w:rsid w:val="00797B14"/>
    <w:rsid w:val="007A022B"/>
    <w:rsid w:val="007A1A73"/>
    <w:rsid w:val="007A36E9"/>
    <w:rsid w:val="007A4FEA"/>
    <w:rsid w:val="007A5B26"/>
    <w:rsid w:val="007A710B"/>
    <w:rsid w:val="007B0B70"/>
    <w:rsid w:val="007B317A"/>
    <w:rsid w:val="007B4614"/>
    <w:rsid w:val="007B7812"/>
    <w:rsid w:val="007C11E0"/>
    <w:rsid w:val="007C3308"/>
    <w:rsid w:val="007C4C1F"/>
    <w:rsid w:val="007D1773"/>
    <w:rsid w:val="007D3096"/>
    <w:rsid w:val="007D4356"/>
    <w:rsid w:val="007D520B"/>
    <w:rsid w:val="007D5225"/>
    <w:rsid w:val="007D6192"/>
    <w:rsid w:val="007D646F"/>
    <w:rsid w:val="007E0035"/>
    <w:rsid w:val="007F05BA"/>
    <w:rsid w:val="007F1688"/>
    <w:rsid w:val="007F17C2"/>
    <w:rsid w:val="007F3051"/>
    <w:rsid w:val="007F445F"/>
    <w:rsid w:val="007F69C4"/>
    <w:rsid w:val="00800158"/>
    <w:rsid w:val="00800C49"/>
    <w:rsid w:val="00805B1A"/>
    <w:rsid w:val="00812666"/>
    <w:rsid w:val="00816354"/>
    <w:rsid w:val="00825BEF"/>
    <w:rsid w:val="008275DE"/>
    <w:rsid w:val="0083025F"/>
    <w:rsid w:val="00831A4E"/>
    <w:rsid w:val="00834158"/>
    <w:rsid w:val="00834F29"/>
    <w:rsid w:val="00837133"/>
    <w:rsid w:val="00841FDD"/>
    <w:rsid w:val="00843099"/>
    <w:rsid w:val="00844A63"/>
    <w:rsid w:val="00845B6B"/>
    <w:rsid w:val="0085555C"/>
    <w:rsid w:val="0085722C"/>
    <w:rsid w:val="00860076"/>
    <w:rsid w:val="00864B42"/>
    <w:rsid w:val="00864EDC"/>
    <w:rsid w:val="008717FD"/>
    <w:rsid w:val="00872085"/>
    <w:rsid w:val="0087311E"/>
    <w:rsid w:val="008766A7"/>
    <w:rsid w:val="0088023F"/>
    <w:rsid w:val="00884AB2"/>
    <w:rsid w:val="008853E8"/>
    <w:rsid w:val="00890B67"/>
    <w:rsid w:val="00893361"/>
    <w:rsid w:val="00893A8E"/>
    <w:rsid w:val="00893CE3"/>
    <w:rsid w:val="008941F8"/>
    <w:rsid w:val="0089639E"/>
    <w:rsid w:val="0089684C"/>
    <w:rsid w:val="008A328F"/>
    <w:rsid w:val="008A42EB"/>
    <w:rsid w:val="008A4E58"/>
    <w:rsid w:val="008A5709"/>
    <w:rsid w:val="008B1A6F"/>
    <w:rsid w:val="008B35DA"/>
    <w:rsid w:val="008B6562"/>
    <w:rsid w:val="008B7C56"/>
    <w:rsid w:val="008C1BE0"/>
    <w:rsid w:val="008C5328"/>
    <w:rsid w:val="008C6844"/>
    <w:rsid w:val="008D1502"/>
    <w:rsid w:val="008D2E6B"/>
    <w:rsid w:val="008D3059"/>
    <w:rsid w:val="008D44E2"/>
    <w:rsid w:val="008D5C1F"/>
    <w:rsid w:val="008D612C"/>
    <w:rsid w:val="008E0C90"/>
    <w:rsid w:val="008E340A"/>
    <w:rsid w:val="008F024A"/>
    <w:rsid w:val="008F4CD3"/>
    <w:rsid w:val="008F62FB"/>
    <w:rsid w:val="00900B1D"/>
    <w:rsid w:val="00901C67"/>
    <w:rsid w:val="009058DF"/>
    <w:rsid w:val="00910D7C"/>
    <w:rsid w:val="00910E34"/>
    <w:rsid w:val="00911CE5"/>
    <w:rsid w:val="009133CD"/>
    <w:rsid w:val="0091490C"/>
    <w:rsid w:val="009204DB"/>
    <w:rsid w:val="009206E4"/>
    <w:rsid w:val="0092128F"/>
    <w:rsid w:val="00922063"/>
    <w:rsid w:val="009220D3"/>
    <w:rsid w:val="009226F2"/>
    <w:rsid w:val="00926314"/>
    <w:rsid w:val="00930317"/>
    <w:rsid w:val="00933333"/>
    <w:rsid w:val="0093364F"/>
    <w:rsid w:val="00934E57"/>
    <w:rsid w:val="00936A0A"/>
    <w:rsid w:val="00944176"/>
    <w:rsid w:val="0094724D"/>
    <w:rsid w:val="009510ED"/>
    <w:rsid w:val="00954E13"/>
    <w:rsid w:val="00955098"/>
    <w:rsid w:val="00962A6D"/>
    <w:rsid w:val="009642C6"/>
    <w:rsid w:val="0096452B"/>
    <w:rsid w:val="00975377"/>
    <w:rsid w:val="0097752F"/>
    <w:rsid w:val="00980E2D"/>
    <w:rsid w:val="00981308"/>
    <w:rsid w:val="00983CDC"/>
    <w:rsid w:val="00983E62"/>
    <w:rsid w:val="00984743"/>
    <w:rsid w:val="00985D99"/>
    <w:rsid w:val="00987A4E"/>
    <w:rsid w:val="00987C57"/>
    <w:rsid w:val="0099188F"/>
    <w:rsid w:val="00993328"/>
    <w:rsid w:val="00995822"/>
    <w:rsid w:val="00997A44"/>
    <w:rsid w:val="009A1FC7"/>
    <w:rsid w:val="009A7254"/>
    <w:rsid w:val="009B2BF4"/>
    <w:rsid w:val="009B52A3"/>
    <w:rsid w:val="009B53BA"/>
    <w:rsid w:val="009B609B"/>
    <w:rsid w:val="009B6F4E"/>
    <w:rsid w:val="009B6FA5"/>
    <w:rsid w:val="009B74CD"/>
    <w:rsid w:val="009D1F6F"/>
    <w:rsid w:val="009D38DB"/>
    <w:rsid w:val="009D3D0A"/>
    <w:rsid w:val="009D628E"/>
    <w:rsid w:val="009D62DE"/>
    <w:rsid w:val="009E1F06"/>
    <w:rsid w:val="009E5DEF"/>
    <w:rsid w:val="009E6B6B"/>
    <w:rsid w:val="009F3B36"/>
    <w:rsid w:val="009F79E3"/>
    <w:rsid w:val="00A01A52"/>
    <w:rsid w:val="00A02A0A"/>
    <w:rsid w:val="00A04717"/>
    <w:rsid w:val="00A04E49"/>
    <w:rsid w:val="00A10236"/>
    <w:rsid w:val="00A10B7E"/>
    <w:rsid w:val="00A11E9D"/>
    <w:rsid w:val="00A1598C"/>
    <w:rsid w:val="00A15EDE"/>
    <w:rsid w:val="00A163CB"/>
    <w:rsid w:val="00A24789"/>
    <w:rsid w:val="00A25268"/>
    <w:rsid w:val="00A34924"/>
    <w:rsid w:val="00A35F3F"/>
    <w:rsid w:val="00A40234"/>
    <w:rsid w:val="00A4496C"/>
    <w:rsid w:val="00A51BDA"/>
    <w:rsid w:val="00A52FED"/>
    <w:rsid w:val="00A547EA"/>
    <w:rsid w:val="00A54EE3"/>
    <w:rsid w:val="00A60040"/>
    <w:rsid w:val="00A61125"/>
    <w:rsid w:val="00A64033"/>
    <w:rsid w:val="00A65635"/>
    <w:rsid w:val="00A66230"/>
    <w:rsid w:val="00A66B33"/>
    <w:rsid w:val="00A706DE"/>
    <w:rsid w:val="00A70BEA"/>
    <w:rsid w:val="00A7226B"/>
    <w:rsid w:val="00A77E2C"/>
    <w:rsid w:val="00A806B3"/>
    <w:rsid w:val="00A80E57"/>
    <w:rsid w:val="00A82337"/>
    <w:rsid w:val="00A90118"/>
    <w:rsid w:val="00A90821"/>
    <w:rsid w:val="00A928C5"/>
    <w:rsid w:val="00A94CCD"/>
    <w:rsid w:val="00A955A3"/>
    <w:rsid w:val="00A958C2"/>
    <w:rsid w:val="00A95C9E"/>
    <w:rsid w:val="00A96933"/>
    <w:rsid w:val="00A97D34"/>
    <w:rsid w:val="00AA175E"/>
    <w:rsid w:val="00AA1B3F"/>
    <w:rsid w:val="00AA565B"/>
    <w:rsid w:val="00AA6572"/>
    <w:rsid w:val="00AA6DE0"/>
    <w:rsid w:val="00AB0EDD"/>
    <w:rsid w:val="00AB238D"/>
    <w:rsid w:val="00AC5DC1"/>
    <w:rsid w:val="00AD1275"/>
    <w:rsid w:val="00AD56BA"/>
    <w:rsid w:val="00AE5941"/>
    <w:rsid w:val="00AE7E72"/>
    <w:rsid w:val="00AF00B0"/>
    <w:rsid w:val="00AF0B6E"/>
    <w:rsid w:val="00AF0C1B"/>
    <w:rsid w:val="00AF1152"/>
    <w:rsid w:val="00AF20DE"/>
    <w:rsid w:val="00AF2C7E"/>
    <w:rsid w:val="00AF337C"/>
    <w:rsid w:val="00AF365B"/>
    <w:rsid w:val="00AF3BC9"/>
    <w:rsid w:val="00B0152E"/>
    <w:rsid w:val="00B06F77"/>
    <w:rsid w:val="00B17EA4"/>
    <w:rsid w:val="00B2401D"/>
    <w:rsid w:val="00B271E2"/>
    <w:rsid w:val="00B27F1E"/>
    <w:rsid w:val="00B320E0"/>
    <w:rsid w:val="00B32D83"/>
    <w:rsid w:val="00B35A2B"/>
    <w:rsid w:val="00B44C87"/>
    <w:rsid w:val="00B47772"/>
    <w:rsid w:val="00B525E7"/>
    <w:rsid w:val="00B5298A"/>
    <w:rsid w:val="00B52BC2"/>
    <w:rsid w:val="00B54B9E"/>
    <w:rsid w:val="00B5655B"/>
    <w:rsid w:val="00B602C0"/>
    <w:rsid w:val="00B639CC"/>
    <w:rsid w:val="00B65AA6"/>
    <w:rsid w:val="00B67A38"/>
    <w:rsid w:val="00B736AC"/>
    <w:rsid w:val="00B753D4"/>
    <w:rsid w:val="00B777DB"/>
    <w:rsid w:val="00B804DA"/>
    <w:rsid w:val="00B83BD4"/>
    <w:rsid w:val="00B873B1"/>
    <w:rsid w:val="00B91C42"/>
    <w:rsid w:val="00BB0ED6"/>
    <w:rsid w:val="00BB1C0A"/>
    <w:rsid w:val="00BB4376"/>
    <w:rsid w:val="00BB4A45"/>
    <w:rsid w:val="00BB4B74"/>
    <w:rsid w:val="00BB6FED"/>
    <w:rsid w:val="00BC41B2"/>
    <w:rsid w:val="00BC45B6"/>
    <w:rsid w:val="00BC4F9E"/>
    <w:rsid w:val="00BE0799"/>
    <w:rsid w:val="00BE26D9"/>
    <w:rsid w:val="00BF1119"/>
    <w:rsid w:val="00BF5510"/>
    <w:rsid w:val="00C00C31"/>
    <w:rsid w:val="00C070A2"/>
    <w:rsid w:val="00C10D37"/>
    <w:rsid w:val="00C13A0F"/>
    <w:rsid w:val="00C14C4A"/>
    <w:rsid w:val="00C17E66"/>
    <w:rsid w:val="00C22482"/>
    <w:rsid w:val="00C242A9"/>
    <w:rsid w:val="00C24D87"/>
    <w:rsid w:val="00C3032A"/>
    <w:rsid w:val="00C31C6D"/>
    <w:rsid w:val="00C31FF2"/>
    <w:rsid w:val="00C33C36"/>
    <w:rsid w:val="00C34E53"/>
    <w:rsid w:val="00C37264"/>
    <w:rsid w:val="00C408D1"/>
    <w:rsid w:val="00C44645"/>
    <w:rsid w:val="00C50A3F"/>
    <w:rsid w:val="00C51474"/>
    <w:rsid w:val="00C51847"/>
    <w:rsid w:val="00C55C36"/>
    <w:rsid w:val="00C61072"/>
    <w:rsid w:val="00C6137D"/>
    <w:rsid w:val="00C61540"/>
    <w:rsid w:val="00C61B0C"/>
    <w:rsid w:val="00C634E4"/>
    <w:rsid w:val="00C67D4C"/>
    <w:rsid w:val="00C706FA"/>
    <w:rsid w:val="00C808FE"/>
    <w:rsid w:val="00C81D18"/>
    <w:rsid w:val="00C82258"/>
    <w:rsid w:val="00C82744"/>
    <w:rsid w:val="00C836D9"/>
    <w:rsid w:val="00C84109"/>
    <w:rsid w:val="00C843F0"/>
    <w:rsid w:val="00C85F66"/>
    <w:rsid w:val="00C95F0B"/>
    <w:rsid w:val="00CA0CFD"/>
    <w:rsid w:val="00CA37C8"/>
    <w:rsid w:val="00CA5047"/>
    <w:rsid w:val="00CA7C2A"/>
    <w:rsid w:val="00CC1221"/>
    <w:rsid w:val="00CC4EE7"/>
    <w:rsid w:val="00CD4CC6"/>
    <w:rsid w:val="00CD5C22"/>
    <w:rsid w:val="00CE363E"/>
    <w:rsid w:val="00CF1430"/>
    <w:rsid w:val="00CF1AE4"/>
    <w:rsid w:val="00D0046C"/>
    <w:rsid w:val="00D00979"/>
    <w:rsid w:val="00D01E3B"/>
    <w:rsid w:val="00D05480"/>
    <w:rsid w:val="00D06EEA"/>
    <w:rsid w:val="00D11946"/>
    <w:rsid w:val="00D14F71"/>
    <w:rsid w:val="00D15612"/>
    <w:rsid w:val="00D156E5"/>
    <w:rsid w:val="00D17A89"/>
    <w:rsid w:val="00D204BD"/>
    <w:rsid w:val="00D21619"/>
    <w:rsid w:val="00D21B1B"/>
    <w:rsid w:val="00D220B5"/>
    <w:rsid w:val="00D26063"/>
    <w:rsid w:val="00D30FB0"/>
    <w:rsid w:val="00D32832"/>
    <w:rsid w:val="00D33C76"/>
    <w:rsid w:val="00D34827"/>
    <w:rsid w:val="00D3642E"/>
    <w:rsid w:val="00D41F8D"/>
    <w:rsid w:val="00D451AB"/>
    <w:rsid w:val="00D50991"/>
    <w:rsid w:val="00D578AF"/>
    <w:rsid w:val="00D61DA0"/>
    <w:rsid w:val="00D65D7A"/>
    <w:rsid w:val="00D6793A"/>
    <w:rsid w:val="00D7347C"/>
    <w:rsid w:val="00D74D7F"/>
    <w:rsid w:val="00D75348"/>
    <w:rsid w:val="00D80F6F"/>
    <w:rsid w:val="00D820E3"/>
    <w:rsid w:val="00D9342C"/>
    <w:rsid w:val="00D944CB"/>
    <w:rsid w:val="00DA326B"/>
    <w:rsid w:val="00DA3BCE"/>
    <w:rsid w:val="00DA59FA"/>
    <w:rsid w:val="00DB1157"/>
    <w:rsid w:val="00DB295F"/>
    <w:rsid w:val="00DB29E4"/>
    <w:rsid w:val="00DB3826"/>
    <w:rsid w:val="00DB47DC"/>
    <w:rsid w:val="00DB74F2"/>
    <w:rsid w:val="00DC205C"/>
    <w:rsid w:val="00DC5687"/>
    <w:rsid w:val="00DC6575"/>
    <w:rsid w:val="00DC7A5D"/>
    <w:rsid w:val="00DD00EF"/>
    <w:rsid w:val="00DD1CF8"/>
    <w:rsid w:val="00DD6102"/>
    <w:rsid w:val="00DD71F1"/>
    <w:rsid w:val="00DE00C5"/>
    <w:rsid w:val="00DE3FB5"/>
    <w:rsid w:val="00DF2749"/>
    <w:rsid w:val="00DF60A6"/>
    <w:rsid w:val="00E00D0A"/>
    <w:rsid w:val="00E05B5A"/>
    <w:rsid w:val="00E05F1B"/>
    <w:rsid w:val="00E07B93"/>
    <w:rsid w:val="00E07E15"/>
    <w:rsid w:val="00E1354A"/>
    <w:rsid w:val="00E161F8"/>
    <w:rsid w:val="00E26EE5"/>
    <w:rsid w:val="00E32815"/>
    <w:rsid w:val="00E33554"/>
    <w:rsid w:val="00E40596"/>
    <w:rsid w:val="00E40BA9"/>
    <w:rsid w:val="00E41B77"/>
    <w:rsid w:val="00E45EC3"/>
    <w:rsid w:val="00E47C4F"/>
    <w:rsid w:val="00E541A3"/>
    <w:rsid w:val="00E637BB"/>
    <w:rsid w:val="00E638C8"/>
    <w:rsid w:val="00E658DD"/>
    <w:rsid w:val="00E65D7E"/>
    <w:rsid w:val="00E70383"/>
    <w:rsid w:val="00E7427C"/>
    <w:rsid w:val="00E75972"/>
    <w:rsid w:val="00E815D2"/>
    <w:rsid w:val="00E82204"/>
    <w:rsid w:val="00E8377B"/>
    <w:rsid w:val="00E83A77"/>
    <w:rsid w:val="00E8796C"/>
    <w:rsid w:val="00E90251"/>
    <w:rsid w:val="00E933C0"/>
    <w:rsid w:val="00E962B7"/>
    <w:rsid w:val="00E96877"/>
    <w:rsid w:val="00E978BF"/>
    <w:rsid w:val="00EA1188"/>
    <w:rsid w:val="00EB0752"/>
    <w:rsid w:val="00EB0AE1"/>
    <w:rsid w:val="00EB1186"/>
    <w:rsid w:val="00EB77CC"/>
    <w:rsid w:val="00EC0997"/>
    <w:rsid w:val="00EC2EEF"/>
    <w:rsid w:val="00EC5DDD"/>
    <w:rsid w:val="00ED2F39"/>
    <w:rsid w:val="00ED30F4"/>
    <w:rsid w:val="00ED43BB"/>
    <w:rsid w:val="00ED449A"/>
    <w:rsid w:val="00ED68E9"/>
    <w:rsid w:val="00EE1FC2"/>
    <w:rsid w:val="00EF670C"/>
    <w:rsid w:val="00F11F09"/>
    <w:rsid w:val="00F1455B"/>
    <w:rsid w:val="00F16D36"/>
    <w:rsid w:val="00F210FD"/>
    <w:rsid w:val="00F250D2"/>
    <w:rsid w:val="00F33087"/>
    <w:rsid w:val="00F350B2"/>
    <w:rsid w:val="00F372A2"/>
    <w:rsid w:val="00F4243D"/>
    <w:rsid w:val="00F4304A"/>
    <w:rsid w:val="00F43155"/>
    <w:rsid w:val="00F44DA4"/>
    <w:rsid w:val="00F45BA7"/>
    <w:rsid w:val="00F45BE9"/>
    <w:rsid w:val="00F46308"/>
    <w:rsid w:val="00F46F4A"/>
    <w:rsid w:val="00F52CE1"/>
    <w:rsid w:val="00F57917"/>
    <w:rsid w:val="00F60788"/>
    <w:rsid w:val="00F7063D"/>
    <w:rsid w:val="00F70C88"/>
    <w:rsid w:val="00F7168A"/>
    <w:rsid w:val="00F734AD"/>
    <w:rsid w:val="00F745D9"/>
    <w:rsid w:val="00F76618"/>
    <w:rsid w:val="00F76E42"/>
    <w:rsid w:val="00F81D1B"/>
    <w:rsid w:val="00F83FBC"/>
    <w:rsid w:val="00F841A7"/>
    <w:rsid w:val="00F84292"/>
    <w:rsid w:val="00F85E04"/>
    <w:rsid w:val="00F864DA"/>
    <w:rsid w:val="00F9134D"/>
    <w:rsid w:val="00F916DA"/>
    <w:rsid w:val="00F92643"/>
    <w:rsid w:val="00F936B3"/>
    <w:rsid w:val="00F97F7D"/>
    <w:rsid w:val="00FA0333"/>
    <w:rsid w:val="00FA19D5"/>
    <w:rsid w:val="00FA3EE8"/>
    <w:rsid w:val="00FA6669"/>
    <w:rsid w:val="00FA7639"/>
    <w:rsid w:val="00FB3457"/>
    <w:rsid w:val="00FB3E2C"/>
    <w:rsid w:val="00FB695B"/>
    <w:rsid w:val="00FC037E"/>
    <w:rsid w:val="00FC19B9"/>
    <w:rsid w:val="00FC4DE3"/>
    <w:rsid w:val="00FC6716"/>
    <w:rsid w:val="00FD00A5"/>
    <w:rsid w:val="00FD4B0F"/>
    <w:rsid w:val="00FE0661"/>
    <w:rsid w:val="00FF0C09"/>
    <w:rsid w:val="00FF1DD7"/>
    <w:rsid w:val="00FF3775"/>
    <w:rsid w:val="01CE5D1C"/>
    <w:rsid w:val="039E595D"/>
    <w:rsid w:val="070F07F6"/>
    <w:rsid w:val="08083403"/>
    <w:rsid w:val="09BE5E2A"/>
    <w:rsid w:val="0A091F73"/>
    <w:rsid w:val="0A8504E9"/>
    <w:rsid w:val="0D92619C"/>
    <w:rsid w:val="0F412CA9"/>
    <w:rsid w:val="0FD566D2"/>
    <w:rsid w:val="13B2170D"/>
    <w:rsid w:val="13B97480"/>
    <w:rsid w:val="14034EB5"/>
    <w:rsid w:val="1476752B"/>
    <w:rsid w:val="14870494"/>
    <w:rsid w:val="15085E8C"/>
    <w:rsid w:val="15174F60"/>
    <w:rsid w:val="1556095A"/>
    <w:rsid w:val="15D53161"/>
    <w:rsid w:val="167D7F24"/>
    <w:rsid w:val="17306AB5"/>
    <w:rsid w:val="17373F64"/>
    <w:rsid w:val="1868610F"/>
    <w:rsid w:val="19A054D6"/>
    <w:rsid w:val="1B0717C8"/>
    <w:rsid w:val="1BE33681"/>
    <w:rsid w:val="1E8A1204"/>
    <w:rsid w:val="202D1DEC"/>
    <w:rsid w:val="21862EC6"/>
    <w:rsid w:val="237A2B2A"/>
    <w:rsid w:val="25881083"/>
    <w:rsid w:val="278A3680"/>
    <w:rsid w:val="27D96143"/>
    <w:rsid w:val="2C4F36F5"/>
    <w:rsid w:val="2D5F22BD"/>
    <w:rsid w:val="2FF37D11"/>
    <w:rsid w:val="3013049D"/>
    <w:rsid w:val="332C3D99"/>
    <w:rsid w:val="365875C5"/>
    <w:rsid w:val="39356049"/>
    <w:rsid w:val="3B4C0EEE"/>
    <w:rsid w:val="3B4E60E4"/>
    <w:rsid w:val="3BFE2074"/>
    <w:rsid w:val="3D276378"/>
    <w:rsid w:val="3F8C7277"/>
    <w:rsid w:val="3FA0222F"/>
    <w:rsid w:val="414F4EFB"/>
    <w:rsid w:val="42D769B6"/>
    <w:rsid w:val="44A8366B"/>
    <w:rsid w:val="44F600D3"/>
    <w:rsid w:val="45617704"/>
    <w:rsid w:val="46A537BE"/>
    <w:rsid w:val="48B048DB"/>
    <w:rsid w:val="4B8C0594"/>
    <w:rsid w:val="4C0F7B1B"/>
    <w:rsid w:val="4CFE380A"/>
    <w:rsid w:val="4D862B8C"/>
    <w:rsid w:val="4DFF35F5"/>
    <w:rsid w:val="4EF47599"/>
    <w:rsid w:val="4FE3578A"/>
    <w:rsid w:val="54E94B5B"/>
    <w:rsid w:val="55661639"/>
    <w:rsid w:val="55761622"/>
    <w:rsid w:val="55DF0EB7"/>
    <w:rsid w:val="5835390E"/>
    <w:rsid w:val="5B2E787C"/>
    <w:rsid w:val="5BD857FA"/>
    <w:rsid w:val="5C080481"/>
    <w:rsid w:val="5E202145"/>
    <w:rsid w:val="5E442CB7"/>
    <w:rsid w:val="5F621BCD"/>
    <w:rsid w:val="6031647B"/>
    <w:rsid w:val="62F74A7A"/>
    <w:rsid w:val="639412BB"/>
    <w:rsid w:val="668E2223"/>
    <w:rsid w:val="683026D9"/>
    <w:rsid w:val="693F388B"/>
    <w:rsid w:val="6A2A6142"/>
    <w:rsid w:val="6DBA21A1"/>
    <w:rsid w:val="6EF8553D"/>
    <w:rsid w:val="72D40FBB"/>
    <w:rsid w:val="73731F46"/>
    <w:rsid w:val="74AB3AD6"/>
    <w:rsid w:val="78AF3D07"/>
    <w:rsid w:val="7AF5051C"/>
    <w:rsid w:val="7BBA680A"/>
    <w:rsid w:val="7BE826AE"/>
    <w:rsid w:val="7CCF532E"/>
    <w:rsid w:val="7E00338F"/>
    <w:rsid w:val="7F8C0E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2">
    <w:name w:val="BodyText2"/>
    <w:qFormat/>
    <w:uiPriority w:val="0"/>
    <w:pPr>
      <w:widowControl w:val="0"/>
      <w:spacing w:after="120" w:line="480" w:lineRule="auto"/>
      <w:jc w:val="both"/>
      <w:textAlignment w:val="baseline"/>
    </w:pPr>
    <w:rPr>
      <w:rFonts w:ascii="Calibri" w:hAnsi="Calibri" w:eastAsia="宋体" w:cs="Times New Roman"/>
      <w:kern w:val="2"/>
      <w:sz w:val="32"/>
      <w:szCs w:val="32"/>
      <w:lang w:val="en-US" w:eastAsia="zh-CN" w:bidi="ar-SA"/>
    </w:rPr>
  </w:style>
  <w:style w:type="paragraph" w:styleId="3">
    <w:name w:val="Balloon Text"/>
    <w:basedOn w:val="1"/>
    <w:link w:val="36"/>
    <w:semiHidden/>
    <w:unhideWhenUsed/>
    <w:qFormat/>
    <w:uiPriority w:val="0"/>
    <w:rPr>
      <w:sz w:val="18"/>
      <w:szCs w:val="18"/>
    </w:rPr>
  </w:style>
  <w:style w:type="paragraph" w:styleId="4">
    <w:name w:val="footer"/>
    <w:basedOn w:val="1"/>
    <w:link w:val="28"/>
    <w:qFormat/>
    <w:uiPriority w:val="99"/>
    <w:pPr>
      <w:tabs>
        <w:tab w:val="center" w:pos="4153"/>
        <w:tab w:val="right" w:pos="8306"/>
      </w:tabs>
      <w:snapToGrid w:val="0"/>
      <w:jc w:val="left"/>
    </w:pPr>
    <w:rPr>
      <w:sz w:val="18"/>
      <w:szCs w:val="18"/>
    </w:rPr>
  </w:style>
  <w:style w:type="paragraph" w:styleId="5">
    <w:name w:val="header"/>
    <w:basedOn w:val="1"/>
    <w:link w:val="27"/>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spacing w:before="100" w:beforeAutospacing="1" w:after="100" w:afterAutospacing="1"/>
      <w:jc w:val="left"/>
    </w:pPr>
    <w:rPr>
      <w:kern w:val="0"/>
      <w:sz w:val="24"/>
    </w:rPr>
  </w:style>
  <w:style w:type="table" w:styleId="8">
    <w:name w:val="Table Grid"/>
    <w:basedOn w:val="7"/>
    <w:qFormat/>
    <w:uiPriority w:val="3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Hyperlink"/>
    <w:basedOn w:val="9"/>
    <w:unhideWhenUsed/>
    <w:qFormat/>
    <w:uiPriority w:val="99"/>
    <w:rPr>
      <w:color w:val="0000FF"/>
      <w:u w:val="single"/>
    </w:rPr>
  </w:style>
  <w:style w:type="paragraph" w:customStyle="1" w:styleId="11">
    <w:name w:val="段"/>
    <w:link w:val="26"/>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2">
    <w:name w:val="正文表标题"/>
    <w:next w:val="11"/>
    <w:qFormat/>
    <w:uiPriority w:val="0"/>
    <w:pPr>
      <w:spacing w:beforeLines="50" w:afterLines="50"/>
      <w:jc w:val="center"/>
    </w:pPr>
    <w:rPr>
      <w:rFonts w:ascii="黑体" w:hAnsi="Times New Roman" w:eastAsia="黑体" w:cs="Times New Roman"/>
      <w:sz w:val="21"/>
      <w:lang w:val="en-US" w:eastAsia="zh-CN" w:bidi="ar-SA"/>
    </w:rPr>
  </w:style>
  <w:style w:type="paragraph" w:customStyle="1" w:styleId="13">
    <w:name w:val="正文图标题"/>
    <w:next w:val="11"/>
    <w:qFormat/>
    <w:uiPriority w:val="0"/>
    <w:pPr>
      <w:numPr>
        <w:ilvl w:val="0"/>
        <w:numId w:val="1"/>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4">
    <w:name w:val="其他发布日期"/>
    <w:basedOn w:val="1"/>
    <w:qFormat/>
    <w:uiPriority w:val="0"/>
    <w:pPr>
      <w:framePr w:w="3997" w:h="471" w:hRule="exact" w:vSpace="181" w:wrap="around" w:vAnchor="page" w:hAnchor="page" w:x="1419" w:y="14097" w:anchorLock="1"/>
      <w:widowControl/>
      <w:numPr>
        <w:ilvl w:val="0"/>
        <w:numId w:val="2"/>
      </w:numPr>
      <w:jc w:val="left"/>
    </w:pPr>
    <w:rPr>
      <w:rFonts w:eastAsia="黑体"/>
      <w:kern w:val="0"/>
      <w:sz w:val="28"/>
      <w:szCs w:val="20"/>
    </w:rPr>
  </w:style>
  <w:style w:type="paragraph" w:customStyle="1" w:styleId="15">
    <w:name w:val="一级条标题"/>
    <w:next w:val="11"/>
    <w:qFormat/>
    <w:uiPriority w:val="0"/>
    <w:pPr>
      <w:numPr>
        <w:ilvl w:val="1"/>
        <w:numId w:val="3"/>
      </w:numPr>
      <w:spacing w:beforeLines="50" w:afterLines="50"/>
      <w:outlineLvl w:val="2"/>
    </w:pPr>
    <w:rPr>
      <w:rFonts w:ascii="黑体" w:hAnsi="Times New Roman" w:eastAsia="黑体" w:cs="Times New Roman"/>
      <w:sz w:val="21"/>
      <w:szCs w:val="21"/>
      <w:lang w:val="en-US" w:eastAsia="zh-CN" w:bidi="ar-SA"/>
    </w:rPr>
  </w:style>
  <w:style w:type="paragraph" w:customStyle="1" w:styleId="16">
    <w:name w:val="章标题"/>
    <w:next w:val="11"/>
    <w:qFormat/>
    <w:uiPriority w:val="0"/>
    <w:pPr>
      <w:numPr>
        <w:ilvl w:val="0"/>
        <w:numId w:val="3"/>
      </w:numPr>
      <w:spacing w:beforeLines="100" w:afterLines="100"/>
      <w:jc w:val="both"/>
      <w:outlineLvl w:val="1"/>
    </w:pPr>
    <w:rPr>
      <w:rFonts w:ascii="黑体" w:hAnsi="Times New Roman" w:eastAsia="黑体" w:cs="Times New Roman"/>
      <w:sz w:val="21"/>
      <w:lang w:val="en-US" w:eastAsia="zh-CN" w:bidi="ar-SA"/>
    </w:rPr>
  </w:style>
  <w:style w:type="paragraph" w:customStyle="1" w:styleId="17">
    <w:name w:val="二级条标题"/>
    <w:basedOn w:val="15"/>
    <w:next w:val="11"/>
    <w:qFormat/>
    <w:uiPriority w:val="0"/>
    <w:pPr>
      <w:numPr>
        <w:ilvl w:val="2"/>
      </w:numPr>
      <w:spacing w:before="50" w:after="50"/>
      <w:outlineLvl w:val="3"/>
    </w:pPr>
  </w:style>
  <w:style w:type="paragraph" w:customStyle="1" w:styleId="18">
    <w:name w:val="三级条标题"/>
    <w:basedOn w:val="17"/>
    <w:next w:val="11"/>
    <w:qFormat/>
    <w:uiPriority w:val="0"/>
    <w:pPr>
      <w:numPr>
        <w:ilvl w:val="3"/>
      </w:numPr>
      <w:outlineLvl w:val="4"/>
    </w:pPr>
  </w:style>
  <w:style w:type="paragraph" w:customStyle="1" w:styleId="19">
    <w:name w:val="四级条标题"/>
    <w:basedOn w:val="18"/>
    <w:next w:val="11"/>
    <w:qFormat/>
    <w:uiPriority w:val="0"/>
    <w:pPr>
      <w:numPr>
        <w:ilvl w:val="4"/>
      </w:numPr>
      <w:outlineLvl w:val="5"/>
    </w:pPr>
  </w:style>
  <w:style w:type="paragraph" w:customStyle="1" w:styleId="20">
    <w:name w:val="五级条标题"/>
    <w:basedOn w:val="19"/>
    <w:next w:val="11"/>
    <w:qFormat/>
    <w:uiPriority w:val="0"/>
    <w:pPr>
      <w:numPr>
        <w:ilvl w:val="5"/>
      </w:numPr>
      <w:outlineLvl w:val="6"/>
    </w:pPr>
  </w:style>
  <w:style w:type="paragraph" w:customStyle="1" w:styleId="21">
    <w:name w:val="注："/>
    <w:next w:val="11"/>
    <w:qFormat/>
    <w:uiPriority w:val="0"/>
    <w:pPr>
      <w:widowControl w:val="0"/>
      <w:numPr>
        <w:ilvl w:val="0"/>
        <w:numId w:val="4"/>
      </w:numPr>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22">
    <w:name w:val="附录图标号"/>
    <w:basedOn w:val="1"/>
    <w:qFormat/>
    <w:uiPriority w:val="0"/>
    <w:pPr>
      <w:keepNext/>
      <w:pageBreakBefore/>
      <w:widowControl/>
      <w:numPr>
        <w:ilvl w:val="0"/>
        <w:numId w:val="5"/>
      </w:numPr>
      <w:spacing w:line="14" w:lineRule="exact"/>
      <w:ind w:left="0" w:firstLine="363"/>
      <w:jc w:val="center"/>
      <w:outlineLvl w:val="0"/>
    </w:pPr>
    <w:rPr>
      <w:color w:val="FFFFFF"/>
    </w:rPr>
  </w:style>
  <w:style w:type="paragraph" w:customStyle="1" w:styleId="23">
    <w:name w:val="附录图标题"/>
    <w:basedOn w:val="1"/>
    <w:next w:val="11"/>
    <w:qFormat/>
    <w:uiPriority w:val="0"/>
    <w:pPr>
      <w:numPr>
        <w:ilvl w:val="1"/>
        <w:numId w:val="5"/>
      </w:numPr>
      <w:tabs>
        <w:tab w:val="left" w:pos="363"/>
      </w:tabs>
      <w:spacing w:beforeLines="50" w:afterLines="50"/>
      <w:ind w:left="0" w:firstLine="0"/>
      <w:jc w:val="center"/>
    </w:pPr>
    <w:rPr>
      <w:rFonts w:ascii="黑体" w:eastAsia="黑体"/>
      <w:szCs w:val="21"/>
    </w:rPr>
  </w:style>
  <w:style w:type="paragraph" w:customStyle="1" w:styleId="24">
    <w:name w:val="注×：（正文）"/>
    <w:qFormat/>
    <w:uiPriority w:val="0"/>
    <w:pPr>
      <w:numPr>
        <w:ilvl w:val="0"/>
        <w:numId w:val="6"/>
      </w:numPr>
      <w:jc w:val="both"/>
    </w:pPr>
    <w:rPr>
      <w:rFonts w:ascii="宋体" w:hAnsi="Times New Roman" w:eastAsia="宋体" w:cs="Times New Roman"/>
      <w:sz w:val="18"/>
      <w:szCs w:val="18"/>
      <w:lang w:val="en-US" w:eastAsia="zh-CN" w:bidi="ar-SA"/>
    </w:rPr>
  </w:style>
  <w:style w:type="paragraph" w:customStyle="1" w:styleId="25">
    <w:name w:val="图表脚注说明"/>
    <w:basedOn w:val="1"/>
    <w:qFormat/>
    <w:uiPriority w:val="0"/>
    <w:pPr>
      <w:numPr>
        <w:ilvl w:val="0"/>
        <w:numId w:val="7"/>
      </w:numPr>
    </w:pPr>
    <w:rPr>
      <w:rFonts w:ascii="宋体"/>
      <w:sz w:val="18"/>
      <w:szCs w:val="18"/>
    </w:rPr>
  </w:style>
  <w:style w:type="character" w:customStyle="1" w:styleId="26">
    <w:name w:val="段 Char"/>
    <w:basedOn w:val="9"/>
    <w:link w:val="11"/>
    <w:qFormat/>
    <w:uiPriority w:val="0"/>
    <w:rPr>
      <w:rFonts w:ascii="宋体"/>
      <w:sz w:val="21"/>
      <w:lang w:val="en-US" w:eastAsia="zh-CN" w:bidi="ar-SA"/>
    </w:rPr>
  </w:style>
  <w:style w:type="character" w:customStyle="1" w:styleId="27">
    <w:name w:val="页眉 字符"/>
    <w:basedOn w:val="9"/>
    <w:link w:val="5"/>
    <w:qFormat/>
    <w:uiPriority w:val="0"/>
    <w:rPr>
      <w:kern w:val="2"/>
      <w:sz w:val="18"/>
      <w:szCs w:val="18"/>
    </w:rPr>
  </w:style>
  <w:style w:type="character" w:customStyle="1" w:styleId="28">
    <w:name w:val="页脚 字符"/>
    <w:basedOn w:val="9"/>
    <w:link w:val="4"/>
    <w:qFormat/>
    <w:uiPriority w:val="99"/>
    <w:rPr>
      <w:kern w:val="2"/>
      <w:sz w:val="18"/>
      <w:szCs w:val="18"/>
    </w:rPr>
  </w:style>
  <w:style w:type="paragraph" w:customStyle="1" w:styleId="29">
    <w:name w:val="附录表标题"/>
    <w:basedOn w:val="1"/>
    <w:next w:val="11"/>
    <w:qFormat/>
    <w:uiPriority w:val="0"/>
    <w:pPr>
      <w:numPr>
        <w:ilvl w:val="1"/>
        <w:numId w:val="8"/>
      </w:numPr>
      <w:tabs>
        <w:tab w:val="left" w:pos="180"/>
      </w:tabs>
      <w:spacing w:beforeLines="50" w:afterLines="50"/>
      <w:ind w:left="0" w:firstLine="0"/>
      <w:jc w:val="center"/>
    </w:pPr>
    <w:rPr>
      <w:rFonts w:ascii="黑体" w:eastAsia="黑体"/>
      <w:szCs w:val="21"/>
    </w:rPr>
  </w:style>
  <w:style w:type="paragraph" w:styleId="30">
    <w:name w:val="List Paragraph"/>
    <w:basedOn w:val="1"/>
    <w:unhideWhenUsed/>
    <w:qFormat/>
    <w:uiPriority w:val="34"/>
    <w:pPr>
      <w:ind w:firstLine="420" w:firstLineChars="200"/>
    </w:pPr>
  </w:style>
  <w:style w:type="paragraph" w:customStyle="1" w:styleId="3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32">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character" w:customStyle="1" w:styleId="33">
    <w:name w:val="发布"/>
    <w:qFormat/>
    <w:uiPriority w:val="0"/>
    <w:rPr>
      <w:rFonts w:ascii="黑体" w:eastAsia="黑体"/>
      <w:spacing w:val="22"/>
      <w:w w:val="100"/>
      <w:position w:val="3"/>
      <w:sz w:val="28"/>
    </w:rPr>
  </w:style>
  <w:style w:type="paragraph" w:customStyle="1" w:styleId="34">
    <w:name w:val="其他发布部门"/>
    <w:basedOn w:val="1"/>
    <w:qFormat/>
    <w:uiPriority w:val="0"/>
    <w:pPr>
      <w:widowControl/>
      <w:spacing w:line="0" w:lineRule="atLeast"/>
      <w:jc w:val="center"/>
    </w:pPr>
    <w:rPr>
      <w:rFonts w:ascii="黑体" w:eastAsia="黑体"/>
      <w:spacing w:val="20"/>
      <w:w w:val="135"/>
      <w:kern w:val="0"/>
      <w:sz w:val="36"/>
      <w:szCs w:val="20"/>
    </w:rPr>
  </w:style>
  <w:style w:type="paragraph" w:customStyle="1" w:styleId="35">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36">
    <w:name w:val="批注框文本 字符"/>
    <w:basedOn w:val="9"/>
    <w:link w:val="3"/>
    <w:semiHidden/>
    <w:qFormat/>
    <w:uiPriority w:val="0"/>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68EBD0-6210-461E-8603-E2FAAA0A2F41}">
  <ds:schemaRefs/>
</ds:datastoreItem>
</file>

<file path=docProps/app.xml><?xml version="1.0" encoding="utf-8"?>
<Properties xmlns="http://schemas.openxmlformats.org/officeDocument/2006/extended-properties" xmlns:vt="http://schemas.openxmlformats.org/officeDocument/2006/docPropsVTypes">
  <Template>Normal</Template>
  <Company>WWW.YlmF.CoM</Company>
  <Pages>18</Pages>
  <Words>4835</Words>
  <Characters>5019</Characters>
  <Lines>2</Lines>
  <Paragraphs>5</Paragraphs>
  <TotalTime>3</TotalTime>
  <ScaleCrop>false</ScaleCrop>
  <LinksUpToDate>false</LinksUpToDate>
  <CharactersWithSpaces>5048</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2023-08-14T06:51:00Z</dcterms:created>
  <dc:creator>USER</dc:creator>
  <cp:lastModifiedBy>誰念誰川</cp:lastModifiedBy>
  <cp:lastPrinted>2019-07-10T11:21:00Z</cp:lastPrinted>
  <dcterms:modified xsi:type="dcterms:W3CDTF">2024-10-25T08:58:49Z</dcterms:modified>
  <dc:title>广西地方标准《脱氢枞酸》（征求意见稿）</dc:title>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484DF7F1BEB842158BCD0584349217B5</vt:lpwstr>
  </property>
</Properties>
</file>